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ארבעה מבחנים נקבעו שם.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מבחני החברות והתקנון מתקיימים: החברים הם עובדים שהצטרפו מרצונם, ולקבוצה תקנון. הקושי בשני המבחנים האחרים, שנבחנים לפי המהות ולא לפי הכותרות.</w:t>
      </w:r>
    </w:p>
    <w:p>
      <w:pPr>
        <w:bidi/>
        <w:spacing w:before="0" w:after="0"/>
        <w:jc w:val="both"/>
      </w:pPr>
      <w:r>
        <w:rPr>
          <w:b/>
          <w:sz w:val="24"/>
          <w:rtl/>
          <w:szCs w:val="24"/>
          <w:bCs/>
        </w:rPr>
        <w:t>מבחן המטרה.</w:t>
      </w:r>
      <w:r>
        <w:rPr>
          <w:sz w:val="24"/>
          <w:rtl/>
          <w:szCs w:val="24"/>
        </w:rPr>
        <w:t xml:space="preserve"> סעיף הסמכויות מקנה לקבוצה סמכות לנהל משא ומתן, לאשר הסכמים קיבוציים ולהכריז על סכסוך עבודה. אולם סעיף המטרות, ובפרט </w:t>
      </w:r>
      <w:r>
        <w:rPr>
          <w:b/>
          <w:sz w:val="24"/>
          <w:rtl/>
          <w:szCs w:val="24"/>
          <w:bCs/>
        </w:rPr>
        <w:t>מטרה ד'</w:t>
      </w:r>
      <w:r>
        <w:rPr>
          <w:sz w:val="24"/>
          <w:rtl/>
          <w:szCs w:val="24"/>
        </w:rPr>
        <w:t xml:space="preserve">, מוציא מראש מתחום הפעולה הקיבוצית את השכר, הבונוסים והאופציות, שהם ליבת תנאי העבודה בחברת טכנולוגיה. גוף כזה אינו מקדם את זכויות העובדים מול המעסיק.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בלבד, ומטרה ד' משקפת התנגדות עקרונית לייצוג 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וראה בה דרך לשמור על "התרבות הייחודית של החברה", ובמקביל פעל נגד ההסתדרות. גוף שהמעסיק תומך בו כך אינו "קול נגדי" לו.</w:t>
      </w:r>
    </w:p>
    <w:p>
      <w:pPr>
        <w:bidi/>
        <w:spacing w:before="0" w:after="0"/>
        <w:jc w:val="both"/>
      </w:pPr>
      <w:r>
        <w:rPr>
          <w:b/>
          <w:sz w:val="24"/>
          <w:rtl/>
          <w:szCs w:val="24"/>
          <w:bCs/>
        </w:rPr>
        <w:t>עניין נוקיה.</w:t>
      </w:r>
      <w:r>
        <w:rPr>
          <w:vertAlign w:val="superscript"/>
        </w:rPr>
        <w:footnoteReference w:id="4"/>
      </w:r>
      <w:r>
        <w:rPr>
          <w:sz w:val="24"/>
          <w:rtl/>
          <w:szCs w:val="24"/>
        </w:rPr>
        <w:t xml:space="preserve"> בית הדין הארצי יישם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אבל חופש זה אינו הופך את הקבוצה לארגון עובדים.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5"/>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שנועד להעביר את עמדת ההנהלה, ובית הדין אסר עליו במפורש. חומרתה רבה משום שהמנהלים משפיעים על הבונוסים והקידום של העובדים.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עומדת במבחני החברות והתקנון של עניין עמית, אך לא במבחן המטרה ולא במבחן הקול הנגדי, כפי שנפסק בנסיבות דומות בעניין נוקיה. פעולות ההנהלה הפרו את האיסור על הבעת עמדה בשלב ההתארגנות הפורצת שנקבע בעניין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6"/>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 הצעות חוזרות (סעיף 3(א)(3)) או התייחסות מבזה (סעיף 3(א)(5)) לא היו.</w:t>
      </w:r>
    </w:p>
    <w:p>
      <w:pPr>
        <w:bidi/>
        <w:spacing w:before="0" w:after="0"/>
        <w:jc w:val="both"/>
      </w:pPr>
      <w:r>
        <w:rPr>
          <w:sz w:val="24"/>
          <w:rtl/>
          <w:szCs w:val="24"/>
        </w:rPr>
        <w:t>השיחות התקיימו במשרד, ולכן ב"מסגרת יחסי עבודה". "הראה" פירושו במילים או בהתנהגות שאין ספק סביר לגבי משמעותה (הגדרות שבסעיף 2 לחוק), ואורי לא עשה כן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עניין מדר</w:t>
      </w:r>
      <w:r>
        <w:rPr>
          <w:vertAlign w:val="superscript"/>
        </w:rPr>
        <w:footnoteReference w:id="7"/>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משתתפת בהחלטות השיבוץ ומשפיעה על קידום עובדים צעירים כמו אורי. לפי הלכת מדר אלה יחסי מרות, והשתתפותו של אורי בשיחות יכולה לנבוע מחשש לעתידו.</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הישירה על נטייתו של אורי נשאלה פעם אחת. רוב השיחות עסקו בחייה של דנה, היו הדדיות ולא נקשרו למעמדו בעבודה, ולכן קשה לבסס כאן הטרדה מינית.</w:t>
      </w:r>
    </w:p>
    <w:p>
      <w:pPr>
        <w:bidi/>
        <w:spacing w:before="120" w:after="0"/>
        <w:jc w:val="both"/>
      </w:pPr>
      <w:r>
        <w:rPr>
          <w:b/>
          <w:sz w:val="24"/>
          <w:rtl/>
          <w:szCs w:val="24"/>
          <w:bCs/>
        </w:rPr>
        <w:t>2. חובות המעסיק והתנכלות</w:t>
      </w:r>
    </w:p>
    <w:p>
      <w:pPr>
        <w:bidi/>
        <w:spacing w:before="0" w:after="0"/>
        <w:jc w:val="both"/>
      </w:pPr>
      <w:r>
        <w:rPr>
          <w:sz w:val="24"/>
          <w:rtl/>
          <w:szCs w:val="24"/>
        </w:rPr>
        <w:t xml:space="preserve">לפי </w:t>
      </w:r>
      <w:r>
        <w:rPr>
          <w:b/>
          <w:sz w:val="24"/>
          <w:rtl/>
          <w:szCs w:val="24"/>
          <w:bCs/>
        </w:rPr>
        <w:t>סעיף 7(א) לחוק</w:t>
      </w:r>
      <w:r>
        <w:rPr>
          <w:sz w:val="24"/>
          <w:rtl/>
          <w:szCs w:val="24"/>
        </w:rPr>
        <w:t xml:space="preserve">, מעסיק חייב לנקוט אמצעים סבירים כדי למנוע הטרדה מינית והתנכלות ולטפל בכל מקרה. Frame מעסיקה כ-70 עובדים, ולכן, לפי </w:t>
      </w:r>
      <w:r>
        <w:rPr>
          <w:b/>
          <w:sz w:val="24"/>
          <w:rtl/>
          <w:szCs w:val="24"/>
          <w:bCs/>
        </w:rPr>
        <w:t>סעיף 7(ב)</w:t>
      </w:r>
      <w:r>
        <w:rPr>
          <w:sz w:val="24"/>
          <w:rtl/>
          <w:szCs w:val="24"/>
        </w:rPr>
        <w:t xml:space="preserve"> ולפי התקנות, עליה גם להתאים את התקנון לדוגמה ולפרסמו, ולמנות </w:t>
      </w:r>
      <w:r>
        <w:rPr>
          <w:b/>
          <w:sz w:val="24"/>
          <w:rtl/>
          <w:szCs w:val="24"/>
          <w:bCs/>
        </w:rPr>
        <w:t>אחראי</w:t>
      </w:r>
      <w:r>
        <w:rPr>
          <w:sz w:val="24"/>
          <w:rtl/>
          <w:szCs w:val="24"/>
        </w:rPr>
        <w:t xml:space="preserve"> לקבלת תלונות ולבירורן. נודע למעסיק על מקרה גם בלי תלונה, עליו להעבירו לבירור האחראי.</w:t>
      </w:r>
      <w:r>
        <w:rPr>
          <w:vertAlign w:val="superscript"/>
        </w:rPr>
        <w:footnoteReference w:id="8"/>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חוק שוויון ההזדמנויות בעבודה</w:t>
      </w:r>
      <w:r>
        <w:rPr>
          <w:sz w:val="24"/>
          <w:rtl/>
          <w:szCs w:val="24"/>
        </w:rPr>
        <w:t xml:space="preserve">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w:t>
      </w:r>
      <w:r>
        <w:rPr>
          <w:vertAlign w:val="superscript"/>
        </w:rPr>
        <w:footnoteReference w:id="9"/>
      </w:r>
      <w:r>
        <w:rPr>
          <w:sz w:val="24"/>
          <w:rtl/>
          <w:szCs w:val="24"/>
        </w:rPr>
        <w:t xml:space="preserve"> אם יוכרו יחסי מרות, גם השאלה הבודדת על נטייתו של אורי עשויה להספיק. העברתו לצוות טכני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0"/>
      </w:r>
      <w:r>
        <w:rPr>
          <w:sz w:val="24"/>
          <w:rtl/>
          <w:szCs w:val="24"/>
        </w:rPr>
        <w:t xml:space="preserve"> אף שהעובדות אינן מראות שדנה הייתה מעורבת בהחלטה.</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למעסיק </w:t>
      </w:r>
      <w:r>
        <w:rPr>
          <w:b/>
          <w:sz w:val="24"/>
          <w:rtl/>
          <w:szCs w:val="24"/>
          <w:bCs/>
        </w:rPr>
        <w:t>פררוגטיבה ניהולית</w:t>
      </w:r>
      <w:r>
        <w:rPr>
          <w:sz w:val="24"/>
          <w:rtl/>
          <w:szCs w:val="24"/>
        </w:rPr>
        <w:t xml:space="preserve"> לשנות באופן חד-צדדי נהלי עבודה. שינוי שחורג ממנה ופוגע בהכנסת העובד או ב</w:t>
      </w:r>
      <w:r>
        <w:rPr>
          <w:b/>
          <w:sz w:val="24"/>
          <w:rtl/>
          <w:szCs w:val="24"/>
          <w:bCs/>
        </w:rPr>
        <w:t>מעמדו בארגון</w:t>
      </w:r>
      <w:r>
        <w:rPr>
          <w:sz w:val="24"/>
          <w:rtl/>
          <w:szCs w:val="24"/>
        </w:rPr>
        <w:t xml:space="preserve"> הוא </w:t>
      </w:r>
      <w:r>
        <w:rPr>
          <w:b/>
          <w:sz w:val="24"/>
          <w:rtl/>
          <w:szCs w:val="24"/>
          <w:bCs/>
        </w:rPr>
        <w:t>הרעת תנאים</w:t>
      </w:r>
      <w:r>
        <w:rPr>
          <w:sz w:val="24"/>
          <w:rtl/>
          <w:szCs w:val="24"/>
        </w:rPr>
        <w:t xml:space="preserve"> והפרה של חוזה העבודה.</w:t>
      </w:r>
      <w:r>
        <w:rPr>
          <w:vertAlign w:val="superscript"/>
        </w:rPr>
        <w:footnoteReference w:id="11"/>
      </w:r>
      <w:r>
        <w:rPr>
          <w:sz w:val="24"/>
          <w:rtl/>
          <w:szCs w:val="24"/>
        </w:rPr>
        <w:t xml:space="preserve"> העברתו של אורי לעריכה טכנית, בלי ישיבות קריאטיב, היא פגיעה במעמד אף ששכרו לא השתנה. שינוי ב"תיאור עיקרי התפקיד" מחייב גם הודעה בכתב לעובד בתוך 30 יום, ובהיעדרה עובר למעסיק נטל ההוכחה בעניין השנוי במחלוקת.</w:t>
      </w:r>
      <w:r>
        <w:rPr>
          <w:vertAlign w:val="superscript"/>
        </w:rPr>
        <w:footnoteReference w:id="12"/>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13"/>
      </w:r>
      <w:r>
        <w:rPr>
          <w:sz w:val="24"/>
          <w:rtl/>
          <w:szCs w:val="24"/>
        </w:rPr>
        <w:t xml:space="preserve"> הזכאות עצמה מותנית בשנת עבודה אחת ברציפות אצל אותו מעסיק,</w:t>
      </w:r>
      <w:r>
        <w:rPr>
          <w:vertAlign w:val="superscript"/>
        </w:rPr>
        <w:footnoteReference w:id="14"/>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שיהוי עלול להתפרש כהסכמה להרעה. ב</w:t>
      </w:r>
      <w:r>
        <w:rPr>
          <w:b/>
          <w:sz w:val="24"/>
          <w:rtl/>
          <w:szCs w:val="24"/>
          <w:bCs/>
        </w:rPr>
        <w:t>עניין גולן</w:t>
      </w:r>
      <w:r>
        <w:rPr>
          <w:vertAlign w:val="superscript"/>
        </w:rPr>
        <w:footnoteReference w:id="15"/>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ביקש לחזור לתפקידו, לא התריע על כוונתו להתפטר ועבד ארבעה חודשים במתכונת החדשה. אף שהתקופה קצרה מזו שבעניין גולן, השתיקה מלמדת על השלמה. גם "נסיבות אחרות" אינן מסייעות לו, שכן השיחות הסתיימו חודשים לפני ההתפטרות.</w:t>
      </w:r>
    </w:p>
    <w:p>
      <w:pPr>
        <w:bidi/>
        <w:spacing w:before="120" w:after="0"/>
        <w:jc w:val="both"/>
      </w:pPr>
      <w:r>
        <w:rPr>
          <w:b/>
          <w:sz w:val="24"/>
          <w:rtl/>
          <w:szCs w:val="24"/>
          <w:bCs/>
        </w:rPr>
        <w:t>4. סיכום</w:t>
      </w:r>
    </w:p>
    <w:p>
      <w:pPr>
        <w:bidi/>
        <w:spacing w:before="0" w:after="0"/>
        <w:jc w:val="both"/>
      </w:pPr>
      <w:r>
        <w:rPr>
          <w:sz w:val="24"/>
          <w:rtl/>
          <w:szCs w:val="24"/>
        </w:rPr>
        <w:t>טענת ההטרדה המינית חלשה: גם אם יוכרו יחסי מרות לפי הלכת מדר, קשה להראות התייחסויות חוזרות למיניותו של אורי. טענת ההתנכלות חזקה יותר, בשל סעיפים 7 ו-9 לחוק שוויון ההזדמנויות. טענת ההתפטרות בדין מפוטר נכשלת בשל היעדר התראה והשיהוי (הלכת גולן).</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נ' ארגון עובדי הפיתוח והשיווק בנוקיה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נ' ארגון עובדי הפיתוח והשיווק בנוקיה (נבו 10.6.2025) (להלן: עניין נוקיה).</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ס' 7(א) לחוק שוויון ההזדמנויות בעבודה, התשמ"ח–1988.</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ס' 9(ב) לחוק שוויון ההזדמנויות בעבודה; ס' 6א לחוק למניעת הטרדה מינית.</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