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0"/>
        <w:jc w:val="both"/>
      </w:pPr>
      <w:r>
        <w:rPr>
          <w:rFonts w:ascii="David" w:hAnsi="David" w:cs="David"/>
          <w:b w:val="0"/>
          <w:sz w:val="24"/>
          <w:szCs w:val="24"/>
          <w:rtl w:val="1"/>
        </w:rPr>
      </w:r>
    </w:p>
    <w:p>
      <w:pPr>
        <w:bidi w:val="1"/>
        <w:spacing w:line="360" w:lineRule="auto" w:after="0"/>
        <w:jc w:val="both"/>
      </w:pPr>
      <w:r>
        <w:rPr>
          <w:rFonts w:ascii="David" w:hAnsi="David" w:cs="David"/>
          <w:b w:val="0"/>
          <w:sz w:val="24"/>
          <w:szCs w:val="24"/>
          <w:rtl w:val="1"/>
        </w:rPr>
      </w:r>
    </w:p>
    <w:p>
      <w:pPr>
        <w:bidi w:val="1"/>
        <w:spacing w:line="360" w:lineRule="auto" w:after="80"/>
        <w:jc w:val="center"/>
      </w:pPr>
      <w:r>
        <w:rPr>
          <w:rFonts w:ascii="David" w:hAnsi="David" w:cs="David"/>
          <w:b/>
          <w:sz w:val="36"/>
          <w:szCs w:val="36"/>
          <w:rtl w:val="1"/>
        </w:rPr>
        <w:t>מסיפור לתיאטרון בובות</w:t>
      </w:r>
    </w:p>
    <w:p>
      <w:pPr>
        <w:bidi w:val="1"/>
        <w:spacing w:line="360" w:lineRule="auto" w:after="360"/>
        <w:jc w:val="center"/>
      </w:pPr>
      <w:r>
        <w:rPr>
          <w:rFonts w:ascii="David" w:hAnsi="David" w:cs="David"/>
          <w:b/>
          <w:sz w:val="28"/>
          <w:szCs w:val="28"/>
          <w:rtl w:val="1"/>
        </w:rPr>
        <w:t>עבודת סיכום</w:t>
      </w:r>
    </w:p>
    <w:p>
      <w:pPr>
        <w:bidi w:val="1"/>
        <w:spacing w:line="360" w:lineRule="auto" w:after="40"/>
        <w:jc w:val="center"/>
      </w:pPr>
      <w:r>
        <w:rPr>
          <w:rFonts w:ascii="David" w:hAnsi="David" w:cs="David"/>
          <w:b w:val="0"/>
          <w:sz w:val="26"/>
          <w:szCs w:val="26"/>
          <w:rtl w:val="1"/>
        </w:rPr>
        <w:t>פעילות בתיאטרון בובות בזיקה לסיפור "פרדריק":</w:t>
      </w:r>
    </w:p>
    <w:p>
      <w:pPr>
        <w:bidi w:val="1"/>
        <w:spacing w:line="360" w:lineRule="auto" w:after="480"/>
        <w:jc w:val="center"/>
      </w:pPr>
      <w:r>
        <w:rPr>
          <w:rFonts w:ascii="David" w:hAnsi="David" w:cs="David"/>
          <w:b w:val="0"/>
          <w:sz w:val="26"/>
          <w:szCs w:val="26"/>
          <w:rtl w:val="1"/>
        </w:rPr>
        <w:t>טיפוח קבלת השונות בגן חובה</w:t>
      </w:r>
    </w:p>
    <w:p>
      <w:pPr>
        <w:bidi w:val="1"/>
        <w:spacing w:line="360" w:lineRule="auto" w:after="40"/>
        <w:jc w:val="center"/>
      </w:pPr>
      <w:r>
        <w:rPr>
          <w:rFonts w:ascii="David" w:hAnsi="David" w:cs="David"/>
          <w:b w:val="0"/>
          <w:sz w:val="24"/>
          <w:szCs w:val="24"/>
          <w:rtl w:val="1"/>
        </w:rPr>
        <w:t>הקורס: מסיפור לתיאטרון בובות</w:t>
      </w:r>
    </w:p>
    <w:p>
      <w:pPr>
        <w:bidi w:val="1"/>
        <w:spacing w:line="360" w:lineRule="auto" w:after="40"/>
        <w:jc w:val="center"/>
      </w:pPr>
      <w:r>
        <w:rPr>
          <w:rFonts w:ascii="David" w:hAnsi="David" w:cs="David"/>
          <w:b w:val="0"/>
          <w:sz w:val="24"/>
          <w:szCs w:val="24"/>
          <w:rtl w:val="1"/>
        </w:rPr>
        <w:t>מרצה: ד"ר יעל ניאגו</w:t>
      </w:r>
    </w:p>
    <w:p>
      <w:pPr>
        <w:bidi w:val="1"/>
        <w:spacing w:line="360" w:lineRule="auto" w:after="40"/>
        <w:jc w:val="center"/>
      </w:pPr>
      <w:r>
        <w:rPr>
          <w:rFonts w:ascii="David" w:hAnsi="David" w:cs="David"/>
          <w:b w:val="0"/>
          <w:sz w:val="24"/>
          <w:szCs w:val="24"/>
          <w:rtl w:val="1"/>
        </w:rPr>
        <w:t>החוג לגיל הרך, המכללה האקדמית גורדון</w:t>
      </w:r>
    </w:p>
    <w:p>
      <w:pPr>
        <w:bidi w:val="1"/>
        <w:spacing w:line="360" w:lineRule="auto" w:after="40"/>
        <w:jc w:val="center"/>
      </w:pPr>
      <w:r>
        <w:rPr>
          <w:rFonts w:ascii="David" w:hAnsi="David" w:cs="David"/>
          <w:b w:val="0"/>
          <w:sz w:val="24"/>
          <w:szCs w:val="24"/>
          <w:rtl w:val="1"/>
        </w:rPr>
        <w:t>מגישות: [שמות חברות הצוות]</w:t>
      </w:r>
    </w:p>
    <w:p>
      <w:pPr>
        <w:bidi w:val="1"/>
        <w:spacing w:line="360" w:lineRule="auto" w:after="40"/>
        <w:jc w:val="center"/>
      </w:pPr>
      <w:r>
        <w:rPr>
          <w:rFonts w:ascii="David" w:hAnsi="David" w:cs="David"/>
          <w:b w:val="0"/>
          <w:sz w:val="24"/>
          <w:szCs w:val="24"/>
          <w:rtl w:val="1"/>
        </w:rPr>
        <w:t>שנת הלימודים תשפ"ו, 2026</w:t>
      </w:r>
    </w:p>
    <w:p>
      <w:r>
        <w:br w:type="page"/>
      </w:r>
    </w:p>
    <w:p>
      <w:pPr>
        <w:bidi w:val="1"/>
        <w:spacing w:line="360" w:lineRule="auto" w:before="200" w:after="80"/>
        <w:jc w:val="right"/>
      </w:pPr>
      <w:r>
        <w:rPr>
          <w:rFonts w:ascii="David" w:hAnsi="David" w:cs="David"/>
          <w:b/>
          <w:sz w:val="26"/>
          <w:szCs w:val="26"/>
          <w:rtl w:val="1"/>
        </w:rPr>
        <w:t>הצהרת סטודנט</w:t>
      </w:r>
    </w:p>
    <w:p>
      <w:pPr>
        <w:bidi w:val="1"/>
        <w:spacing w:line="360" w:lineRule="auto" w:after="120"/>
        <w:jc w:val="both"/>
      </w:pPr>
      <w:r>
        <w:rPr>
          <w:rFonts w:ascii="David" w:hAnsi="David" w:cs="David"/>
          <w:b w:val="0"/>
          <w:sz w:val="24"/>
          <w:szCs w:val="24"/>
          <w:rtl w:val="1"/>
        </w:rPr>
        <w:t>אנו מצהירות כי העבודה נכתבה על ידינו, וכי כל מקור שנעזרנו בו צוין כנדרש. חלוקת העבודה בין חברות הצוות: [לפרט מה היה חלקה של כל אחת].</w:t>
      </w:r>
    </w:p>
    <w:p>
      <w:pPr>
        <w:bidi w:val="1"/>
        <w:spacing w:line="360" w:lineRule="auto" w:after="120"/>
        <w:jc w:val="both"/>
      </w:pPr>
      <w:r>
        <w:rPr>
          <w:rFonts w:ascii="David" w:hAnsi="David" w:cs="David"/>
          <w:b w:val="0"/>
          <w:sz w:val="24"/>
          <w:szCs w:val="24"/>
          <w:rtl w:val="1"/>
        </w:rPr>
        <w:t>הצהרה על שימוש בבינה מלאכותית: בעבודה זו נעשה שימוש בכלי בינה מלאכותית ככלי עזר לניסוח, לארגון הרעיונות ולסיכום מקורות. השימוש נעשה באופן מושכל ובשקיפות מול המרצה, והתוכן נבדק והותאם על ידינו. [להתאים לפי המצב בפועל ולחתום].</w:t>
      </w:r>
    </w:p>
    <w:p>
      <w:pPr>
        <w:bidi w:val="1"/>
        <w:spacing w:line="360" w:lineRule="auto" w:after="120"/>
        <w:jc w:val="both"/>
      </w:pPr>
      <w:r>
        <w:rPr>
          <w:rFonts w:ascii="David" w:hAnsi="David" w:cs="David"/>
          <w:b w:val="0"/>
          <w:sz w:val="24"/>
          <w:szCs w:val="24"/>
          <w:rtl w:val="1"/>
        </w:rPr>
        <w:t>חתימות: ______________________</w:t>
      </w:r>
    </w:p>
    <w:p>
      <w:r>
        <w:br w:type="page"/>
      </w:r>
    </w:p>
    <w:p>
      <w:pPr>
        <w:bidi w:val="1"/>
        <w:spacing w:line="360" w:lineRule="auto" w:before="200" w:after="80"/>
        <w:jc w:val="right"/>
      </w:pPr>
      <w:r>
        <w:rPr>
          <w:rFonts w:ascii="David" w:hAnsi="David" w:cs="David"/>
          <w:b/>
          <w:sz w:val="26"/>
          <w:szCs w:val="26"/>
          <w:rtl w:val="1"/>
        </w:rPr>
        <w:t>מבוא</w:t>
      </w:r>
    </w:p>
    <w:p>
      <w:pPr>
        <w:bidi w:val="1"/>
        <w:spacing w:line="360" w:lineRule="auto" w:after="160"/>
        <w:jc w:val="both"/>
      </w:pPr>
      <w:r>
        <w:rPr>
          <w:rFonts w:ascii="David" w:hAnsi="David" w:cs="David"/>
          <w:b w:val="0"/>
          <w:sz w:val="24"/>
          <w:szCs w:val="24"/>
          <w:rtl w:val="1"/>
        </w:rPr>
        <w:t>העבודה עוסקת בתכנון פעילות בתיאטרון בובות לילדי גן חובה, סביב הסיפור "פרדריק" מאת לאו ליוני, ובחלק העיוני שמסביר מדוע תיאטרון הבובות הוא כלי חינוכי רב ערך בגיל הרך. בחרנו בנושא השונות, כי זה נושא שילדים בני חמש ושש כבר מתמודדים איתו בגן, מי דומה לי, מי שונה ממני, ומי מתקבל. הבובה, ובעיקר בובת פה שהפה שלה נפתח ומדבר, מאפשרת לילד לפגוש את הרעיון הזה בצורה חווייתית ולא מטיפה. החלק המעשי מתאר את הפעילות ואת הבובה האדומה שהכנו, והחלק העיוני מבסס את הבחירות שלנו על ספרות הקורס.</w:t>
      </w:r>
    </w:p>
    <w:p>
      <w:pPr>
        <w:bidi w:val="1"/>
        <w:spacing w:line="360" w:lineRule="auto" w:before="200" w:after="80"/>
        <w:jc w:val="right"/>
      </w:pPr>
      <w:r>
        <w:rPr>
          <w:rFonts w:ascii="David" w:hAnsi="David" w:cs="David"/>
          <w:b/>
          <w:sz w:val="26"/>
          <w:szCs w:val="26"/>
          <w:rtl w:val="1"/>
        </w:rPr>
        <w:t>סעיף 1 - תכנון הפעילות</w:t>
      </w:r>
    </w:p>
    <w:p>
      <w:pPr>
        <w:bidi w:val="1"/>
        <w:spacing w:line="360" w:lineRule="auto" w:before="200" w:after="80"/>
        <w:jc w:val="right"/>
      </w:pPr>
      <w:r>
        <w:rPr>
          <w:rFonts w:ascii="David" w:hAnsi="David" w:cs="David"/>
          <w:b/>
          <w:sz w:val="24"/>
          <w:szCs w:val="24"/>
          <w:rtl w:val="1"/>
        </w:rPr>
        <w:t>1א. אוכלוסיית היעד ונושא הפעילות</w:t>
      </w:r>
    </w:p>
    <w:p>
      <w:pPr>
        <w:bidi w:val="1"/>
        <w:spacing w:line="360" w:lineRule="auto" w:after="160"/>
        <w:jc w:val="both"/>
      </w:pPr>
      <w:r>
        <w:rPr>
          <w:rFonts w:ascii="David" w:hAnsi="David" w:cs="David"/>
          <w:b w:val="0"/>
          <w:sz w:val="24"/>
          <w:szCs w:val="24"/>
          <w:rtl w:val="1"/>
        </w:rPr>
        <w:t>הפעילות מיועדת לילדי גן חובה, בנים ובנות בני חמש עד שש. הנושא שבחרנו הוא שונות, כלומר לתת מקום לייחודיות של כל ילד ולהראות שיש ערך בלהיות שונה. הסיפור שעליו בנינו את הפעילות הוא "פרדריק" מאת לאו ליוני. המוטיב המרכזי בסיפור הוא שגם מי שנראה שונה, ואפילו נראה כמי שלא תורם לקבוצה, יש לו תרומה משלו: פרדריק, העכבר שבזמן הקציר אוסף צבעים, מילים וקרני שמש במקום גרעינים, הוא זה שמחמם את הלב של כל העכברים בחורף הארוך והאפור. הבחירה בסיפור הזה מדויקת לנושא, כי הוא לא מסביר לילדים שצריך לקבל את השונה אלא נותן להם להרגיש את זה דרך הדמות.</w:t>
      </w:r>
    </w:p>
    <w:p>
      <w:pPr>
        <w:bidi w:val="1"/>
        <w:spacing w:line="360" w:lineRule="auto" w:before="200" w:after="80"/>
        <w:jc w:val="right"/>
      </w:pPr>
      <w:r>
        <w:rPr>
          <w:rFonts w:ascii="David" w:hAnsi="David" w:cs="David"/>
          <w:b/>
          <w:sz w:val="24"/>
          <w:szCs w:val="24"/>
          <w:rtl w:val="1"/>
        </w:rPr>
        <w:t>1ב. מטרות, מהלך הפעילות ושיקולי דעת</w:t>
      </w:r>
    </w:p>
    <w:p>
      <w:pPr>
        <w:bidi w:val="1"/>
        <w:spacing w:line="360" w:lineRule="auto" w:after="120"/>
        <w:jc w:val="both"/>
      </w:pPr>
      <w:r>
        <w:rPr>
          <w:rFonts w:ascii="David" w:hAnsi="David" w:cs="David"/>
          <w:b w:val="0"/>
          <w:sz w:val="24"/>
          <w:szCs w:val="24"/>
          <w:rtl w:val="1"/>
        </w:rPr>
        <w:t>הצבנו לפעילות חמש מטרות. הילד יזהה שכל אחד בקבוצה שונה, ושלשוני הזה יש ערך. הילד יביע רגשות, של פרדריק בסיפור ושל עצמו, סביב התחושה של להיות שונה. הילד יתנסה בהפעלת הבובה ובהשתתפות פעילה בהמחזה. הילד יפתח מיומנויות שפה והבעה בעל פה דרך הדיאלוג עם הבובה. והילד יגלה עמדה מקבלת כלפי ילדים ששונים ממנו, בתוך הגן ומחוצה לו.</w:t>
      </w:r>
    </w:p>
    <w:p>
      <w:pPr>
        <w:bidi w:val="1"/>
        <w:spacing w:line="360" w:lineRule="auto" w:after="120"/>
        <w:jc w:val="both"/>
      </w:pPr>
      <w:r>
        <w:rPr>
          <w:rFonts w:ascii="David" w:hAnsi="David" w:cs="David"/>
          <w:b w:val="0"/>
          <w:sz w:val="24"/>
          <w:szCs w:val="24"/>
          <w:rtl w:val="1"/>
        </w:rPr>
        <w:t>מהלך הפעילות בנוי בשלושה שלבים. בפתיחה הבובה האדומה מציצה, מציגה את עצמה כדמות מיוחדת ושונה מכולם, ושואלת את הילדים אם גם הם מכירים מישהו שהוא קצת אחר. זה מעורר עניין ומכניס לנושא בלי הרצאה. בגוף הפעילות אנו ממחיזות את "פרדריק" עם הבובה, ומשלבות את הילדים, אחד אוסף "צבע", אחד "מילה", כדי שירגישו חלק מהסיפור. בסיכום מתקיים שיח רפלקטיבי במעגל: מתי הרגשתם שונים? במה כל אחד מכם מיוחד? מה פרדריק לימד אותנו. השיח מחזיר את המסר מהסיפור אל חיי הילדים.</w:t>
      </w:r>
    </w:p>
    <w:p>
      <w:pPr>
        <w:bidi w:val="1"/>
        <w:spacing w:line="360" w:lineRule="auto" w:after="160"/>
        <w:jc w:val="both"/>
      </w:pPr>
      <w:r>
        <w:rPr>
          <w:rFonts w:ascii="David" w:hAnsi="David" w:cs="David"/>
          <w:b w:val="0"/>
          <w:sz w:val="24"/>
          <w:szCs w:val="24"/>
          <w:rtl w:val="1"/>
        </w:rPr>
        <w:t>שיקולי הדעת מאחורי התכנון: בחרנו בבובת פה כי היא מאפשרת דיאלוג חי עם הילדים, והפה שנפתח ונסגר מושך את תשומת הלב ומזמין תגובה. בחרנו בסיפור קצר עם מסר אחד וברור, שמתאים לטווח הקשב של בני חמש ושש. את הפעילות כדאי להעביר בקבוצה קטנה בישיבת מעגל, כדי שכל ילד יוכל לראות את הבובה, לגעת ולהשתתף, וכדי שהשיח הרגשי בסוף יהיה אישי ולא רועש.</w:t>
      </w:r>
    </w:p>
    <w:p>
      <w:pPr>
        <w:bidi w:val="1"/>
        <w:spacing w:line="360" w:lineRule="auto" w:before="200" w:after="80"/>
        <w:jc w:val="right"/>
      </w:pPr>
      <w:r>
        <w:rPr>
          <w:rFonts w:ascii="David" w:hAnsi="David" w:cs="David"/>
          <w:b/>
          <w:sz w:val="24"/>
          <w:szCs w:val="24"/>
          <w:rtl w:val="1"/>
        </w:rPr>
        <w:t>1ג. הכנת העזרים ותיאור הבובה</w:t>
      </w:r>
    </w:p>
    <w:p>
      <w:pPr>
        <w:bidi w:val="1"/>
        <w:spacing w:line="360" w:lineRule="auto" w:after="120"/>
        <w:jc w:val="both"/>
      </w:pPr>
      <w:r>
        <w:rPr>
          <w:rFonts w:ascii="David" w:hAnsi="David" w:cs="David"/>
          <w:b w:val="0"/>
          <w:sz w:val="24"/>
          <w:szCs w:val="24"/>
          <w:rtl w:val="1"/>
        </w:rPr>
        <w:t>הכנו בעצמנו שתי בובות פה, שהפה שלהן נפתח ונסגר ומאפשר לבובה "לדבר". לנושא השונות בחרנו בבובה האדומה, כי היא דמות דמיונית ייחודית, בצבע בולט ולא שגרתי, וזה בדיוק מה שהופך אותה למתאימה לגלם את הדמות ה"שונה" בפעילות. הבובה עשויה מבד ומספוג, עם פה פנימי מקרטון מרופד שמאפשר את תנועת הפתיחה והסגירה, ועיניים ופרטים שנתפרו והודבקו כדי לתת לה אופי. תהליך ההכנה בידיים היה חלק חשוב בעבודה, כי הוא נתן לנו היכרות עם הבובה עוד לפני שהיא הופיעה מול הילדים.</w:t>
      </w:r>
    </w:p>
    <w:p>
      <w:pPr>
        <w:bidi w:val="1"/>
        <w:spacing w:line="360" w:lineRule="auto" w:after="160"/>
        <w:jc w:val="both"/>
      </w:pPr>
      <w:r>
        <w:rPr>
          <w:rFonts w:ascii="David" w:hAnsi="David" w:cs="David"/>
          <w:b w:val="0"/>
          <w:sz w:val="24"/>
          <w:szCs w:val="24"/>
          <w:rtl w:val="1"/>
        </w:rPr>
        <w:t>[כאן יש לצרף את תמונות הבובה האדומה (ובמידת הצורך גם את הבובה הוורודה) שהכנתן, כנדרש בסעיף 1ג. אפשר להוסיף גם תמונה של התפאורה או האביזרים.]</w:t>
      </w:r>
    </w:p>
    <w:p>
      <w:pPr>
        <w:bidi w:val="1"/>
        <w:spacing w:line="360" w:lineRule="auto" w:before="200" w:after="80"/>
        <w:jc w:val="right"/>
      </w:pPr>
      <w:r>
        <w:rPr>
          <w:rFonts w:ascii="David" w:hAnsi="David" w:cs="David"/>
          <w:b/>
          <w:sz w:val="26"/>
          <w:szCs w:val="26"/>
          <w:rtl w:val="1"/>
        </w:rPr>
        <w:t>סעיף 2 - חשיבותו ותרומתו של תיאטרון הבובות</w:t>
      </w:r>
    </w:p>
    <w:p>
      <w:pPr>
        <w:bidi w:val="1"/>
        <w:spacing w:line="360" w:lineRule="auto" w:before="200" w:after="80"/>
        <w:jc w:val="right"/>
      </w:pPr>
      <w:r>
        <w:rPr>
          <w:rFonts w:ascii="David" w:hAnsi="David" w:cs="David"/>
          <w:b/>
          <w:sz w:val="24"/>
          <w:szCs w:val="24"/>
          <w:rtl w:val="1"/>
        </w:rPr>
        <w:t>2א. חשיבותו של תיאטרון הבובות</w:t>
      </w:r>
    </w:p>
    <w:p>
      <w:pPr>
        <w:bidi w:val="1"/>
        <w:spacing w:line="360" w:lineRule="auto" w:after="120"/>
        <w:jc w:val="both"/>
      </w:pPr>
      <w:r>
        <w:rPr>
          <w:rFonts w:ascii="David" w:hAnsi="David" w:cs="David"/>
          <w:b w:val="0"/>
          <w:sz w:val="24"/>
          <w:szCs w:val="24"/>
          <w:rtl w:val="1"/>
        </w:rPr>
        <w:t>תיאטרון הבובות הוא הרבה יותר ממשחק. הוא תחום אמנותי רב חושי שמזמן לילד בגיל הרך חוויה אסתטית, מעורר את הדמיון, ומפתח שפה וחשיבה יצירתית. השפה הייחודית של תיאטרון הבובות וכוחה של הבובה מרתקים ילדים ומעוררים אצלם מוטיבציה לשתף פעולה, והחשיפה אליו מזמנת למידה שמשלבת חושים, רגשות וחשיבה יחד (ניאגו, 2023). בפעילות שלנו זה בא לידי ביטוי בכך שהמסר על שונות לא נמסר כהסבר אלא כחוויה, דרך הופעה של דמות ובתוך סיפור.</w:t>
      </w:r>
    </w:p>
    <w:p>
      <w:pPr>
        <w:bidi w:val="1"/>
        <w:spacing w:line="360" w:lineRule="auto" w:after="120"/>
        <w:jc w:val="both"/>
      </w:pPr>
      <w:r>
        <w:rPr>
          <w:rFonts w:ascii="David" w:hAnsi="David" w:cs="David"/>
          <w:b w:val="0"/>
          <w:sz w:val="24"/>
          <w:szCs w:val="24"/>
          <w:rtl w:val="1"/>
        </w:rPr>
        <w:t>למפגש של הילד עם סיפור דרך הבובה יש ערך מיוחד. הבובה מתווכת בין הספרות לילד, והופכת טקסט מופשט לדמות חיה שאפשר לדבר איתה ולהגיב לה. כך הסיפור נכנס לילד לא רק דרך האוזן אלא גם דרך העין והרגש (ניאגו, 2023). בפעילות שלנו הבובה האדומה היא שמכניסה את הילדים אל "פרדריק", ובזכותה הם פוגשים את פרדריק לא כדמות בספר אלא כמישהו שנמצא איתם בחדר.</w:t>
      </w:r>
    </w:p>
    <w:p>
      <w:pPr>
        <w:bidi w:val="1"/>
        <w:spacing w:line="360" w:lineRule="auto" w:after="120"/>
        <w:jc w:val="both"/>
      </w:pPr>
      <w:r>
        <w:rPr>
          <w:rFonts w:ascii="David" w:hAnsi="David" w:cs="David"/>
          <w:b w:val="0"/>
          <w:sz w:val="24"/>
          <w:szCs w:val="24"/>
          <w:rtl w:val="1"/>
        </w:rPr>
        <w:t>סוג הבובה שנבחר אינו מקרי. בחרנו בבובת פה, שהיא סוג של בובת כפפה שבה היד מפעילה את הפה, כי היא מזמינה דיבור ודיאלוג. סוגי הבובות נבדלים באפשרויות ההפעלה שלהם ובהתאמתם לצורכי הילד ולמטרת הפעילות, ולכן הבחירה בסוג הבובה היא חלק מהתכנון הפדגוגי (יחזקאלי, 2009). בפעילות שלנו בובת הפה מאפשרת לפרדריק "לדבר" עם הילדים, לשאול אותם שאלות ולהגיב לתשובות שלהם, וזה מה שהופך את ההמחזה לשיחה ולא להצגה חד כיוונית.</w:t>
      </w:r>
    </w:p>
    <w:p>
      <w:pPr>
        <w:bidi w:val="1"/>
        <w:spacing w:line="360" w:lineRule="auto" w:after="120"/>
        <w:jc w:val="both"/>
      </w:pPr>
      <w:r>
        <w:rPr>
          <w:rFonts w:ascii="David" w:hAnsi="David" w:cs="David"/>
          <w:b w:val="0"/>
          <w:sz w:val="24"/>
          <w:szCs w:val="24"/>
          <w:rtl w:val="1"/>
        </w:rPr>
        <w:t>גם עצם תהליך הכנת הבובה נושא משמעות חינוכית. תיאטרון הבובות מחבר בין הראש, הידיים והלב, והעשייה הגופנית של יצירת הבובה היא חלק בלתי נפרד מהלמידה ולא רק הכנה טכנית לקראתה (Smith, 2019). בעבודה שלנו ההכנה הידנית של הבובה האדומה נתנה לנו חיבור אישי אליה, וזה מה שאיפשר לנו להפעיל אותה מול הילדים בביטחון ובחיות.</w:t>
      </w:r>
    </w:p>
    <w:p>
      <w:pPr>
        <w:bidi w:val="1"/>
        <w:spacing w:line="360" w:lineRule="auto" w:after="120"/>
        <w:jc w:val="both"/>
      </w:pPr>
      <w:r>
        <w:rPr>
          <w:rFonts w:ascii="David" w:hAnsi="David" w:cs="David"/>
          <w:b w:val="0"/>
          <w:sz w:val="24"/>
          <w:szCs w:val="24"/>
          <w:rtl w:val="1"/>
        </w:rPr>
        <w:t>כוחה של בובת התיאטרון נובע מהיכולת שלה לגעת ברגש. הבובה יוצרת מרחב בטוח שבו הילד יכול לבטא רגשות ולהתמודד עם תכנים לא פשוטים, ותוכניות התערבות רבות משתמשות בבובה ובסיפור כדי לפתח אצל ילדים חוסן ומשאבי התמודדות (קופר-קיסרי, 2021). בפעילות שלנו הכוח הזה מנוצל כדי לגעת ברגש עדין, התחושה של להיות שונה, בלי לחשוף ילד מסוים ובלי להביך אותו, כי הדמות שמדברת היא הבובה ולא הילד.</w:t>
      </w:r>
    </w:p>
    <w:p>
      <w:pPr>
        <w:bidi w:val="1"/>
        <w:spacing w:line="360" w:lineRule="auto" w:after="120"/>
        <w:jc w:val="both"/>
      </w:pPr>
      <w:r>
        <w:rPr>
          <w:rFonts w:ascii="David" w:hAnsi="David" w:cs="David"/>
          <w:b w:val="0"/>
          <w:sz w:val="24"/>
          <w:szCs w:val="24"/>
          <w:rtl w:val="1"/>
        </w:rPr>
        <w:t>לבובת המתווך תפקיד מרכזי בגיל הרך. היא מגשרת בין המבוגר לילד ובין הילד לתוכן, ומאפשרת לגשת דרכה לנושאים רגשיים בעקיפין, מה שמוריד את ההגנות של הילד ומזמין אותו להשתתף (קופר-קיסרי, 2021). בפעילות שלנו הבובה האדומה היא המתווכת: דרכה אנו שואלות את הילדים על שונות, ודרכה הם עונים, לפעמים בשם עצמם ולפעמים בשם הבובה.</w:t>
      </w:r>
    </w:p>
    <w:p>
      <w:pPr>
        <w:bidi w:val="1"/>
        <w:spacing w:line="360" w:lineRule="auto" w:after="120"/>
        <w:jc w:val="both"/>
      </w:pPr>
      <w:r>
        <w:rPr>
          <w:rFonts w:ascii="David" w:hAnsi="David" w:cs="David"/>
          <w:b w:val="0"/>
          <w:sz w:val="24"/>
          <w:szCs w:val="24"/>
          <w:rtl w:val="1"/>
        </w:rPr>
        <w:t>המשחק הוא לב הפעילות בתיאטרון הבובות. דרך המשחק הילד מתנסה, לוקח תפקיד ומעבד את התוכן בכלים שמתאימים לגיל שלו, ולכן ההמחזה איננה בידור בלבד אלא דרך למידה מרכזית בגיל הרך (יחזקאלי, 2009). בפעילות שלנו הילדים אינם צופים בלבד אלא שותפים למשחק, אוספים "צבעים ומילים" יחד עם פרדריק, וכך הם חווים את הסיפור מבפנים.</w:t>
      </w:r>
    </w:p>
    <w:p>
      <w:pPr>
        <w:bidi w:val="1"/>
        <w:spacing w:line="360" w:lineRule="auto" w:after="120"/>
        <w:jc w:val="both"/>
      </w:pPr>
      <w:r>
        <w:rPr>
          <w:rFonts w:ascii="David" w:hAnsi="David" w:cs="David"/>
          <w:b w:val="0"/>
          <w:sz w:val="24"/>
          <w:szCs w:val="24"/>
          <w:rtl w:val="1"/>
        </w:rPr>
        <w:t>גם התפאורה, המוזיקה והשירה תורמים לחוויה. הם יוצרים אווירה, ממקדים את תשומת הלב ומעצימים את הרגש שההצגה מבקשת להעביר (יחזקאלי, 2009). בפעילות שלנו תפאורה פשוטה של "מחסן" העכברים ומעט מוזיקה שקטה ברקע יעזרו לילדים להיכנס לעולם של פרדריק ולהרגיש את המעבר מהקציר החם אל החורף האפור.</w:t>
      </w:r>
    </w:p>
    <w:p>
      <w:pPr>
        <w:bidi w:val="1"/>
        <w:spacing w:line="360" w:lineRule="auto" w:after="160"/>
        <w:jc w:val="both"/>
      </w:pPr>
      <w:r>
        <w:rPr>
          <w:rFonts w:ascii="David" w:hAnsi="David" w:cs="David"/>
          <w:b w:val="0"/>
          <w:sz w:val="24"/>
          <w:szCs w:val="24"/>
          <w:rtl w:val="1"/>
        </w:rPr>
        <w:t>לבסוף, שיתוף הקהל הופך את הילדים משומעים למשתתפים. כשילד נשאל, עונה ופועל מול הבובה, הוא מרגיש שההצגה שלו, וההשתתפות הזאת מחזקת את המעורבות ואת הלמידה (Smith, 2019). בפעילות שלנו שיתוף הקהל בנוי לתוך המהלך, מהשאלה הפותחת של הבובה ועד השיח המסכם במעגל.</w:t>
      </w:r>
    </w:p>
    <w:p>
      <w:pPr>
        <w:bidi w:val="1"/>
        <w:spacing w:line="360" w:lineRule="auto" w:before="200" w:after="80"/>
        <w:jc w:val="right"/>
      </w:pPr>
      <w:r>
        <w:rPr>
          <w:rFonts w:ascii="David" w:hAnsi="David" w:cs="David"/>
          <w:b/>
          <w:sz w:val="24"/>
          <w:szCs w:val="24"/>
          <w:rtl w:val="1"/>
        </w:rPr>
        <w:t>2ב. תרומתו של תיאטרון הבובות ללומד ולמחנך</w:t>
      </w:r>
    </w:p>
    <w:p>
      <w:pPr>
        <w:bidi w:val="1"/>
        <w:spacing w:line="360" w:lineRule="auto" w:after="120"/>
        <w:jc w:val="both"/>
      </w:pPr>
      <w:r>
        <w:rPr>
          <w:rFonts w:ascii="David" w:hAnsi="David" w:cs="David"/>
          <w:b w:val="0"/>
          <w:sz w:val="24"/>
          <w:szCs w:val="24"/>
          <w:rtl w:val="1"/>
        </w:rPr>
        <w:t>מבחינה קוגניטיבית, תיאטרון הבובות מפתח שפה, אוצר מילים והבנת רצף של סיפור. מחקרים מצאו שאפילו שימוש בבובות אצבע בגיל הרך תומך בהתפתחות השפה המוקדמת של הילד (Domek et al., 2023). בפעילות שלנו הדיאלוג עם פרדריק והשיח המסכם מזמנים לילדים להשתמש במילים, לנסח רגש ולספר על עצמם.</w:t>
      </w:r>
    </w:p>
    <w:p>
      <w:pPr>
        <w:bidi w:val="1"/>
        <w:spacing w:line="360" w:lineRule="auto" w:after="120"/>
        <w:jc w:val="both"/>
      </w:pPr>
      <w:r>
        <w:rPr>
          <w:rFonts w:ascii="David" w:hAnsi="David" w:cs="David"/>
          <w:b w:val="0"/>
          <w:sz w:val="24"/>
          <w:szCs w:val="24"/>
          <w:rtl w:val="1"/>
        </w:rPr>
        <w:t>מבחינה רגשית, הבובה מאפשרת לילד לבטא רגשות דרך דמות, ולעבד תכנים שקשה לדבר עליהם ישירות, וכך היא מסייעת בפיתוח חוסן ומשאבי התמודדות (קופר-קיסרי, 2021). בפעילות שלנו זה מאפשר לילד לגעת בתחושת השונות מבלי להיחשף, כי הרגש נאמר דרך הבובה.</w:t>
      </w:r>
    </w:p>
    <w:p>
      <w:pPr>
        <w:bidi w:val="1"/>
        <w:spacing w:line="360" w:lineRule="auto" w:after="120"/>
        <w:jc w:val="both"/>
      </w:pPr>
      <w:r>
        <w:rPr>
          <w:rFonts w:ascii="David" w:hAnsi="David" w:cs="David"/>
          <w:b w:val="0"/>
          <w:sz w:val="24"/>
          <w:szCs w:val="24"/>
          <w:rtl w:val="1"/>
        </w:rPr>
        <w:t>מבחינה חברתית, הפעילות מתקיימת בקבוצה, ודורשת הקשבה, תור ושיתוף פעולה. המפגש המשותף סביב הבובה מחזק את תחושת השייכות ואת קבלת האחר (ניאגו, 2023). בפעילות שלנו המסר על קבלת השונה מתורגם מיד לחוויה חברתית ממשית בתוך הקבוצה.</w:t>
      </w:r>
    </w:p>
    <w:p>
      <w:pPr>
        <w:bidi w:val="1"/>
        <w:spacing w:line="360" w:lineRule="auto" w:after="120"/>
        <w:jc w:val="both"/>
      </w:pPr>
      <w:r>
        <w:rPr>
          <w:rFonts w:ascii="David" w:hAnsi="David" w:cs="David"/>
          <w:b w:val="0"/>
          <w:sz w:val="24"/>
          <w:szCs w:val="24"/>
          <w:rtl w:val="1"/>
        </w:rPr>
        <w:t>מבחינה מוטורית, הכנת הבובה והפעלתה דורשות מוטוריקה עדינה ותיאום עין יד, והעשייה היוצרת מפעילה את הידיים לצד הראש והלב (Smith, 2019). בפעילות שלנו הילדים מפעילים אביזרים קטנים ומשתתפים בתנועה, וכך גם ההיבט הגופני מקבל מקום.</w:t>
      </w:r>
    </w:p>
    <w:p>
      <w:pPr>
        <w:bidi w:val="1"/>
        <w:spacing w:line="360" w:lineRule="auto" w:after="160"/>
        <w:jc w:val="both"/>
      </w:pPr>
      <w:r>
        <w:rPr>
          <w:rFonts w:ascii="David" w:hAnsi="David" w:cs="David"/>
          <w:b w:val="0"/>
          <w:sz w:val="24"/>
          <w:szCs w:val="24"/>
          <w:rtl w:val="1"/>
        </w:rPr>
        <w:t>גם למחנכת יש רווח. הבובה נותנת בידי הגננת כלי תיווך שמושך את הילדים, מרכך רגעים קשים בקבוצה ומאפשר לגשת לנושאים רגישים בעקיפין ובעדינות (יחזקאלי, 2009). בפעילות שלנו הבובה האדומה היא הכלי שדרכו אנו מנהלות את השיח על שונות, ומחזיקות את תשומת הלב של הקבוצה לאורך כל המהלך.</w:t>
      </w:r>
    </w:p>
    <w:p>
      <w:pPr>
        <w:bidi w:val="1"/>
        <w:spacing w:line="360" w:lineRule="auto" w:before="200" w:after="80"/>
        <w:jc w:val="right"/>
      </w:pPr>
      <w:r>
        <w:rPr>
          <w:rFonts w:ascii="David" w:hAnsi="David" w:cs="David"/>
          <w:b/>
          <w:sz w:val="26"/>
          <w:szCs w:val="26"/>
          <w:rtl w:val="1"/>
        </w:rPr>
        <w:t>סעיף 3 - רשימה ביבליוגרפית</w:t>
      </w:r>
    </w:p>
    <w:p>
      <w:pPr>
        <w:bidi w:val="1"/>
        <w:spacing w:line="360" w:lineRule="auto" w:after="120"/>
        <w:ind w:left="432" w:hanging="432"/>
        <w:jc w:val="right"/>
      </w:pPr>
      <w:r>
        <w:rPr>
          <w:rFonts w:ascii="David" w:hAnsi="David" w:cs="David"/>
          <w:b w:val="0"/>
          <w:sz w:val="24"/>
          <w:szCs w:val="24"/>
          <w:rtl w:val="1"/>
        </w:rPr>
        <w:t>יחזקאלי, י' (2009). תיאטרון בובות. מודן.</w:t>
      </w:r>
    </w:p>
    <w:p>
      <w:pPr>
        <w:bidi w:val="1"/>
        <w:spacing w:line="360" w:lineRule="auto" w:after="120"/>
        <w:ind w:left="432" w:hanging="432"/>
        <w:jc w:val="right"/>
      </w:pPr>
      <w:r>
        <w:rPr>
          <w:rFonts w:ascii="David" w:hAnsi="David" w:cs="David"/>
          <w:b w:val="0"/>
          <w:sz w:val="24"/>
          <w:szCs w:val="24"/>
          <w:rtl w:val="1"/>
        </w:rPr>
        <w:t>ניאגו, י' (2023). תיאטרון הבובות כמטפח את הרגישות האסתטית אצל ילדים צעירים. בתוך ש' שינמן, ס' מור ונ' שם-טוב (עורכים), תיאטרון לקהל צעיר בישראל: מחקר, יצירה ושיח (עמ' 199-220). מכון מופ"ת.</w:t>
      </w:r>
    </w:p>
    <w:p>
      <w:pPr>
        <w:bidi w:val="1"/>
        <w:spacing w:line="360" w:lineRule="auto" w:after="120"/>
        <w:ind w:left="432" w:hanging="432"/>
        <w:jc w:val="right"/>
      </w:pPr>
      <w:r>
        <w:rPr>
          <w:rFonts w:ascii="David" w:hAnsi="David" w:cs="David"/>
          <w:b w:val="0"/>
          <w:sz w:val="24"/>
          <w:szCs w:val="24"/>
          <w:rtl w:val="1"/>
        </w:rPr>
        <w:t>קופר-קיסרי, ס' (2021). כיצד מייצרים חוסן רגשי? מה עוזר כשקשה לי - תוכנית לפיתוח משאבי התמודדות לגיל הרך באמצעות בובות תיאטרון. בין המילים, 19, 12-36.</w:t>
      </w:r>
    </w:p>
    <w:p>
      <w:pPr>
        <w:bidi w:val="1"/>
        <w:spacing w:line="360" w:lineRule="auto" w:after="120"/>
        <w:ind w:left="432" w:hanging="432"/>
        <w:jc w:val="right"/>
      </w:pPr>
      <w:r>
        <w:rPr>
          <w:rFonts w:ascii="David" w:hAnsi="David" w:cs="David"/>
          <w:b w:val="0"/>
          <w:sz w:val="24"/>
          <w:szCs w:val="24"/>
          <w:rtl w:val="1"/>
        </w:rPr>
        <w:t>Domek, G. J., Szafran, L. H., Allison, M., Kempe, A., Jimenez-Zambrano, A., Silveira, L., &amp; Camp, B. (2023). Finger puppets to support early language development: Effects of a primary care-based intervention in infancy. Clinical Pediatrics, 62(12), 1497-1507.</w:t>
      </w:r>
    </w:p>
    <w:p>
      <w:pPr>
        <w:bidi w:val="1"/>
        <w:spacing w:line="360" w:lineRule="auto" w:after="120"/>
        <w:ind w:left="432" w:hanging="432"/>
        <w:jc w:val="right"/>
      </w:pPr>
      <w:r>
        <w:rPr>
          <w:rFonts w:ascii="David" w:hAnsi="David" w:cs="David"/>
          <w:b w:val="0"/>
          <w:sz w:val="24"/>
          <w:szCs w:val="24"/>
          <w:rtl w:val="1"/>
        </w:rPr>
        <w:t>Smith, J. (2019). Puppetry in theatre and arts education: Head, hands and heart. Methuen Drama.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