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bidi/>
        <w:spacing w:after="120" w:before="120" w:line="360"/>
        <w:jc w:val="center"/>
      </w:pPr>
      <w:r>
        <w:rPr>
          <w:rFonts w:ascii="David" w:cs="David" w:eastAsia="David" w:hAnsi="David"/>
          <w:b/>
          <w:bCs/>
          <w:sz w:val="32"/>
          <w:szCs w:val="32"/>
          <w:rtl/>
        </w:rPr>
        <w:t xml:space="preserve">הקריה האקדמית אונו</w:t>
      </w:r>
    </w:p>
    <w:p>
      <w:pPr>
        <w:bidi/>
        <w:spacing w:after="120" w:before="0" w:line="360"/>
        <w:jc w:val="center"/>
      </w:pPr>
      <w:r>
        <w:rPr>
          <w:rFonts w:ascii="David" w:cs="David" w:eastAsia="David" w:hAnsi="David"/>
          <w:b w:val="false"/>
          <w:bCs w:val="false"/>
          <w:sz w:val="26"/>
          <w:szCs w:val="26"/>
          <w:rtl/>
        </w:rPr>
        <w:t xml:space="preserve">הפקולטה למנהל עסקים, תואר ראשון</w:t>
      </w:r>
    </w:p>
    <w:p>
      <w:pPr>
        <w:bidi/>
        <w:spacing w:after="120" w:before="0" w:line="360"/>
        <w:jc w:val="center"/>
      </w:pPr>
      <w:r>
        <w:rPr>
          <w:rFonts w:ascii="David" w:cs="David" w:eastAsia="David" w:hAnsi="David"/>
          <w:b w:val="false"/>
          <w:bCs w:val="false"/>
          <w:sz w:val="26"/>
          <w:szCs w:val="26"/>
          <w:rtl/>
        </w:rPr>
        <w:t xml:space="preserve">חשבונאות</w:t>
      </w:r>
    </w:p>
    <w:p>
      <w:pPr>
        <w:bidi/>
        <w:spacing w:after="480" w:before="0" w:line="360"/>
        <w:jc w:val="center"/>
      </w:pPr>
      <w:r>
        <w:rPr>
          <w:rFonts w:ascii="David" w:cs="David" w:eastAsia="David" w:hAnsi="David"/>
          <w:b w:val="false"/>
          <w:bCs w:val="false"/>
          <w:sz w:val="26"/>
          <w:szCs w:val="26"/>
          <w:rtl/>
        </w:rPr>
        <w:t xml:space="preserve">שנת הלימודים תשפ"ו, סמסטר 2</w:t>
      </w:r>
    </w:p>
    <w:p>
      <w:pPr>
        <w:bidi/>
        <w:spacing w:after="240" w:before="0" w:line="360"/>
        <w:jc w:val="center"/>
      </w:pPr>
      <w:r>
        <w:rPr>
          <w:rFonts w:ascii="David" w:cs="David" w:eastAsia="David" w:hAnsi="David"/>
          <w:b/>
          <w:bCs/>
          <w:sz w:val="30"/>
          <w:szCs w:val="30"/>
          <w:rtl/>
        </w:rPr>
        <w:t xml:space="preserve">עבודת גמר בקורס: דיני עבודה (קורס חובה)</w:t>
      </w:r>
    </w:p>
    <w:p>
      <w:pPr>
        <w:bidi/>
        <w:spacing w:after="600" w:before="0" w:line="360"/>
        <w:jc w:val="center"/>
      </w:pPr>
      <w:r>
        <w:rPr>
          <w:rFonts w:ascii="David" w:cs="David" w:eastAsia="David" w:hAnsi="David"/>
          <w:b/>
          <w:bCs/>
          <w:sz w:val="28"/>
          <w:szCs w:val="28"/>
          <w:rtl/>
        </w:rPr>
        <w:t xml:space="preserve">נושא העבודה: ניתוח טענות הצדדים בשלושה אירועים ביחסי עבודה</w:t>
      </w:r>
    </w:p>
    <w:p>
      <w:pPr>
        <w:bidi/>
        <w:spacing w:after="120" w:before="0" w:line="360"/>
        <w:jc w:val="center"/>
      </w:pPr>
      <w:r>
        <w:rPr>
          <w:rFonts w:ascii="David" w:cs="David" w:eastAsia="David" w:hAnsi="David"/>
          <w:b w:val="false"/>
          <w:bCs w:val="false"/>
          <w:sz w:val="24"/>
          <w:szCs w:val="24"/>
          <w:rtl/>
        </w:rPr>
        <w:t xml:space="preserve">שם המרצה (המנחה): ד"ר ירון קטן</w:t>
      </w:r>
    </w:p>
    <w:p>
      <w:pPr>
        <w:bidi/>
        <w:spacing w:after="480" w:before="0" w:line="360"/>
        <w:jc w:val="center"/>
      </w:pPr>
      <w:r>
        <w:rPr>
          <w:rFonts w:ascii="David" w:cs="David" w:eastAsia="David" w:hAnsi="David"/>
          <w:b w:val="false"/>
          <w:bCs w:val="false"/>
          <w:sz w:val="24"/>
          <w:szCs w:val="24"/>
          <w:rtl/>
        </w:rPr>
        <w:t xml:space="preserve">מתרגלת: עו"ד סימי יפית דרי</w:t>
      </w:r>
    </w:p>
    <w:p>
      <w:pPr>
        <w:bidi/>
        <w:spacing w:after="120" w:before="0" w:line="360"/>
        <w:jc w:val="center"/>
      </w:pPr>
      <w:r>
        <w:rPr>
          <w:rFonts w:ascii="David" w:cs="David" w:eastAsia="David" w:hAnsi="David"/>
          <w:b w:val="false"/>
          <w:bCs w:val="false"/>
          <w:sz w:val="24"/>
          <w:szCs w:val="24"/>
          <w:rtl/>
        </w:rPr>
        <w:t xml:space="preserve">שם הסטודנט: ____________________</w:t>
      </w:r>
    </w:p>
    <w:p>
      <w:pPr>
        <w:bidi/>
        <w:spacing w:after="480" w:before="0" w:line="360"/>
        <w:jc w:val="center"/>
      </w:pPr>
      <w:r>
        <w:rPr>
          <w:rFonts w:ascii="David" w:cs="David" w:eastAsia="David" w:hAnsi="David"/>
          <w:b w:val="false"/>
          <w:bCs w:val="false"/>
          <w:sz w:val="24"/>
          <w:szCs w:val="24"/>
          <w:rtl/>
        </w:rPr>
        <w:t xml:space="preserve">ת"ז: ____________________</w:t>
      </w:r>
    </w:p>
    <w:p>
      <w:pPr>
        <w:bidi/>
        <w:spacing w:after="120" w:before="0" w:line="360"/>
        <w:jc w:val="center"/>
      </w:pPr>
      <w:r>
        <w:rPr>
          <w:rFonts w:ascii="David" w:cs="David" w:eastAsia="David" w:hAnsi="David"/>
          <w:b w:val="false"/>
          <w:bCs w:val="false"/>
          <w:sz w:val="24"/>
          <w:szCs w:val="24"/>
          <w:rtl/>
        </w:rPr>
        <w:t xml:space="preserve">מועד הגשה: אלול תשפ"ו, אוגוסט 2026</w:t>
      </w:r>
    </w:p>
    <w:p>
      <w:r>
        <w:br w:type="page"/>
      </w:r>
    </w:p>
    <w:p>
      <w:pPr>
        <w:bidi/>
        <w:spacing w:after="160" w:before="0" w:line="360"/>
        <w:jc w:val="right"/>
      </w:pPr>
      <w:r>
        <w:rPr>
          <w:rFonts w:ascii="David" w:cs="David" w:eastAsia="David" w:hAnsi="David"/>
          <w:b/>
          <w:bCs/>
          <w:sz w:val="28"/>
          <w:szCs w:val="28"/>
          <w:u w:val="single"/>
          <w:rtl/>
        </w:rPr>
        <w:t xml:space="preserve">אירוע 1: העסקתו של צבי כמלצר</w:t>
      </w:r>
    </w:p>
    <w:p>
      <w:pPr>
        <w:bidi/>
        <w:spacing w:after="160" w:before="240" w:line="360"/>
        <w:jc w:val="right"/>
      </w:pPr>
      <w:r>
        <w:rPr>
          <w:rFonts w:ascii="David" w:cs="David" w:eastAsia="David" w:hAnsi="David"/>
          <w:b/>
          <w:bCs/>
          <w:sz w:val="26"/>
          <w:szCs w:val="26"/>
          <w:rtl/>
        </w:rPr>
        <w:t xml:space="preserve">שאלה א: דרך ההעסקה</w:t>
      </w:r>
    </w:p>
    <w:p>
      <w:pPr>
        <w:bidi/>
        <w:spacing w:after="120" w:line="360"/>
        <w:jc w:val="both"/>
      </w:pPr>
      <w:r>
        <w:rPr>
          <w:rFonts w:ascii="David" w:cs="David" w:eastAsia="David" w:hAnsi="David"/>
          <w:b w:val="false"/>
          <w:bCs w:val="false"/>
          <w:sz w:val="24"/>
          <w:szCs w:val="24"/>
          <w:rtl/>
        </w:rPr>
        <w:t xml:space="preserve">מצדו של צבי ייטען כי שיטת "השלמת השעות" שנהגה במסעדה עומדת בסתירה חזיתית לחוק שעות עבודה ומנוחה, התשי"א-1951. החוק תוחם את יום העבודה, וכל שעה מעבר לתחום זה היא שעה נוספת המזכה בגמול של 125% בעד השעתיים הראשונות ו-150% מכאן ואילך. בהעסקה שעתית אין דבר כזה "חוב שעות": מלצר שנעדר ממשמרת פשוט אינו מקבל שכר בעדה, ואין הוא חב את השעות למעסיק. המשמרות של 12 ו-16 שעות חורגות אף מהתקרה שנקבעה בהיתר הכללי להעסקה בשעות נוספות, שאינו מתיר יום עבודה העולה על 12 שעות, כך שמדובר בהעסקה אסורה שגם הסכמה מפורשת אינה מכשירה. הוראות אלה קוגנטיות, ועובד אינו רשאי לוותר עליהן.</w:t>
      </w:r>
    </w:p>
    <w:p>
      <w:pPr>
        <w:bidi/>
        <w:spacing w:after="120" w:line="360"/>
        <w:jc w:val="both"/>
      </w:pPr>
      <w:r>
        <w:rPr>
          <w:rFonts w:ascii="David" w:cs="David" w:eastAsia="David" w:hAnsi="David"/>
          <w:b w:val="false"/>
          <w:bCs w:val="false"/>
          <w:sz w:val="24"/>
          <w:szCs w:val="24"/>
          <w:rtl/>
        </w:rPr>
        <w:t xml:space="preserve">בעל המסעדה ישיב כי ההסדר כולו נולד לבקשת צבי וכדי להיטיב עמו, שכן בלעדיו לא יכול היה לשלב עבודה ולימודים. לגרסתו סוכם היקף שעות שבועי, וההשלמות רק שמרו על ההיקף המוסכם בלי לפגוע בשכר. הוא יוסיף טענת השתק וחוסר תום לב: צבי נהנה מן הגמישות חודשים ארוכים, לא הלין עליה ולו פעם אחת, ונזכר לתקוף אותה רק לאחר שפוטר. עם זאת, כוחן של טענות ההסכמה מוגבל, שכן על זכויות מגן קוגנטיות לא ניתן להתנות.</w:t>
      </w:r>
    </w:p>
    <w:p>
      <w:pPr>
        <w:bidi/>
        <w:spacing w:after="160" w:before="240" w:line="360"/>
        <w:jc w:val="right"/>
      </w:pPr>
      <w:r>
        <w:rPr>
          <w:rFonts w:ascii="David" w:cs="David" w:eastAsia="David" w:hAnsi="David"/>
          <w:b/>
          <w:bCs/>
          <w:sz w:val="26"/>
          <w:szCs w:val="26"/>
          <w:rtl/>
        </w:rPr>
        <w:t xml:space="preserve">שאלה ב: השכר</w:t>
      </w:r>
    </w:p>
    <w:p>
      <w:pPr>
        <w:bidi/>
        <w:spacing w:after="120" w:line="360"/>
        <w:jc w:val="both"/>
      </w:pPr>
      <w:r>
        <w:rPr>
          <w:rFonts w:ascii="David" w:cs="David" w:eastAsia="David" w:hAnsi="David"/>
          <w:b w:val="false"/>
          <w:bCs w:val="false"/>
          <w:sz w:val="24"/>
          <w:szCs w:val="24"/>
          <w:rtl/>
        </w:rPr>
        <w:t xml:space="preserve">צבי יטען שתי טענות במצטבר. האחת, ששכר הבסיס ששולם לו נמוך משכר המינימום ומפר את חוק שכר מינימום, התשמ"ז-1987, חוק קוגנטי שהפרתו מקימה זכות להפרשי שכר ואף לפיצוי בגין הלנה מכוח חוק הגנת השכר, התשי"ח-1958. השנייה נוגעת לטיפים: מאז פסק הדין בעניין קיס (ע"ע (ארצי) 44510-04-13, 2018) התשר בענף המסעדנות נחשב הכנסה של בית העסק המשמשת לתשלום שכר העבודה, יהא אשר יהא המסלול שבו עבר. מכאן נובע שהתשר הוא שכר לכל דבר ועניין, ועל בסיסו יש לחשב גם את ההפרשות הפנסיוניות. דרישתו של צבי הייתה אפוא דרישה כדין, וסירוב המעסיק הוא שהפר את הדין.</w:t>
      </w:r>
    </w:p>
    <w:p>
      <w:pPr>
        <w:bidi/>
        <w:spacing w:after="120" w:line="360"/>
        <w:jc w:val="both"/>
      </w:pPr>
      <w:r>
        <w:rPr>
          <w:rFonts w:ascii="David" w:cs="David" w:eastAsia="David" w:hAnsi="David"/>
          <w:b w:val="false"/>
          <w:bCs w:val="false"/>
          <w:sz w:val="24"/>
          <w:szCs w:val="24"/>
          <w:rtl/>
        </w:rPr>
        <w:t xml:space="preserve">בעל המסעדה יטען מנגד כי הטיפים שגבה צבי במזומן הם חלק בלתי נפרד משכרו, וכי בצירופם שכרו בפועל עלה בהרבה על שכר המינימום. במקביל יטען כי כספי התשר שייכים לקופת המסעדה וכי צבי נטל אותם לעצמו שלא כדין, מאחורי גבה של ההנהלה. הקושי בעמדתו כפול: הטענות סותרות זו את זו, והלכת קיס קובעת ממילא כי מעסיק הנהנה מן התשר כרכיב שכר נושא גם בעלויות הסוציאליות הכרוכות בו.</w:t>
      </w:r>
    </w:p>
    <w:p>
      <w:pPr>
        <w:bidi/>
        <w:spacing w:after="160" w:before="240" w:line="360"/>
        <w:jc w:val="right"/>
      </w:pPr>
      <w:r>
        <w:rPr>
          <w:rFonts w:ascii="David" w:cs="David" w:eastAsia="David" w:hAnsi="David"/>
          <w:b/>
          <w:bCs/>
          <w:sz w:val="26"/>
          <w:szCs w:val="26"/>
          <w:rtl/>
        </w:rPr>
        <w:t xml:space="preserve">שאלה ג: הפיטורים</w:t>
      </w:r>
    </w:p>
    <w:p>
      <w:pPr>
        <w:bidi/>
        <w:spacing w:after="120" w:line="360"/>
        <w:jc w:val="both"/>
      </w:pPr>
      <w:r>
        <w:rPr>
          <w:rFonts w:ascii="David" w:cs="David" w:eastAsia="David" w:hAnsi="David"/>
          <w:b w:val="false"/>
          <w:bCs w:val="false"/>
          <w:sz w:val="24"/>
          <w:szCs w:val="24"/>
          <w:rtl/>
        </w:rPr>
        <w:t xml:space="preserve">צבי יטען כי פוטר בו במקום, בלא שקוים שימוע, בניגוד לחובת ההליך ההוגן שפיתחה פסיקת בתי הדין לעבודה מכוח עקרון תום הלב, ובלא הודעה מוקדמת כנדרש בחוק הודעה מוקדמת לפיטורים ולהתפטרות, התשס"א-2001. מעבר לפגמים ההליכיים, עיתוי הפיטורים מסגיר את המניע: הוא פוטר מיד לאחר שדרש כי ההפרשות הפנסיוניות יחושבו גם על התשר. פיטורים שנועדו להעניש עובד על עמידה על זכות מגן הם פיטורים ממניע פסול ובחוסר תום לב, המזכים בפיצוי מוגבר.</w:t>
      </w:r>
    </w:p>
    <w:p>
      <w:pPr>
        <w:bidi/>
        <w:spacing w:after="120" w:line="360"/>
        <w:jc w:val="both"/>
      </w:pPr>
      <w:r>
        <w:rPr>
          <w:rFonts w:ascii="David" w:cs="David" w:eastAsia="David" w:hAnsi="David"/>
          <w:b w:val="false"/>
          <w:bCs w:val="false"/>
          <w:sz w:val="24"/>
          <w:szCs w:val="24"/>
          <w:rtl/>
        </w:rPr>
        <w:t xml:space="preserve">בעל המסעדה יטען כי ההחלטה מצויה בגרעין הפררוגטיבה הניהולית שלו, וכי עילתה אינה הדרישה הפנסיונית אלא שבר אמון: התגלה שצבי מכניס לכיסו כספים המגיעים לעסק, ואף העז להציב תנאים להשבתם. לשיטתו מדובר בהפרת משמעת חמורה שבצדה, לפי סעיפים 16-17 לחוק פיצויי פיטורים, התשכ"ג-1963, אפשרות לשלול פיצויי פיטורים והודעה מוקדמת. גם לגרסה זו נותר קושי, שכן חובת השימוע חלה אף בפיטורי משמעת.</w:t>
      </w:r>
    </w:p>
    <w:p>
      <w:r>
        <w:br w:type="page"/>
      </w:r>
    </w:p>
    <w:p>
      <w:pPr>
        <w:bidi/>
        <w:spacing w:after="160" w:before="0" w:line="360"/>
        <w:jc w:val="right"/>
      </w:pPr>
      <w:r>
        <w:rPr>
          <w:rFonts w:ascii="David" w:cs="David" w:eastAsia="David" w:hAnsi="David"/>
          <w:b/>
          <w:bCs/>
          <w:sz w:val="28"/>
          <w:szCs w:val="28"/>
          <w:u w:val="single"/>
          <w:rtl/>
        </w:rPr>
        <w:t xml:space="preserve">אירוע 2: ג'ון והמעבר לתוכנית הערב</w:t>
      </w:r>
    </w:p>
    <w:p>
      <w:pPr>
        <w:bidi/>
        <w:spacing w:after="160" w:before="240" w:line="360"/>
        <w:jc w:val="right"/>
      </w:pPr>
      <w:r>
        <w:rPr>
          <w:rFonts w:ascii="David" w:cs="David" w:eastAsia="David" w:hAnsi="David"/>
          <w:b/>
          <w:bCs/>
          <w:sz w:val="26"/>
          <w:szCs w:val="26"/>
          <w:rtl/>
        </w:rPr>
        <w:t xml:space="preserve">שאלה א: שיבוץ שעות העבודה</w:t>
      </w:r>
    </w:p>
    <w:p>
      <w:pPr>
        <w:bidi/>
        <w:spacing w:after="120" w:line="360"/>
        <w:jc w:val="both"/>
      </w:pPr>
      <w:r>
        <w:rPr>
          <w:rFonts w:ascii="David" w:cs="David" w:eastAsia="David" w:hAnsi="David"/>
          <w:b w:val="false"/>
          <w:bCs w:val="false"/>
          <w:sz w:val="24"/>
          <w:szCs w:val="24"/>
          <w:rtl/>
        </w:rPr>
        <w:t xml:space="preserve">ג'ון יטען כי המעבר להוראת ערב לא היה שיבוץ טכני אלא שינוי מוסכם של חוזה העבודה, שנעשה ביוזמת המנהל ובתמריץ מטעמו. לפי הלכת מילפלדר (בג"ץ 239/83), משהוסכם תנאי בחוזה עבודה אישי, אין צד רשאי לבטלו באורח חד-צדדי. ההחזרה המיידית לבוקר נעשתה בלא שיחה, בלא התראה ובלא שנשמעה עמדתו, אף שהפעלת הפררוגטיבה הניהולית כפופה לחובת תום הלב ולסבירות (דב"ע נד/3-86 גולן נ' אי.אל.די). הוא יוסיף כי שינה את מצבו לרעה על יסוד השיבוץ החדש ומכר את רכבו.</w:t>
      </w:r>
    </w:p>
    <w:p>
      <w:pPr>
        <w:bidi/>
        <w:spacing w:after="120" w:line="360"/>
        <w:jc w:val="both"/>
      </w:pPr>
      <w:r>
        <w:rPr>
          <w:rFonts w:ascii="David" w:cs="David" w:eastAsia="David" w:hAnsi="David"/>
          <w:b w:val="false"/>
          <w:bCs w:val="false"/>
          <w:sz w:val="24"/>
          <w:szCs w:val="24"/>
          <w:rtl/>
        </w:rPr>
        <w:t xml:space="preserve">המנהל ישיב כי קביעת מערכת השעות היא סמכות ניהולית מובהקת של מנהל בית ספר. השיבוץ לערב ניתן מתוך הנחה שהמורה ינצל את שעות היום למנוחה ויגיע כשיר להוראה, ואילו ג'ון עשה את ההפך הגמור: עבד בשליחויות במשך היום והגיע עייף עד כדי אי-יכולת ללמד. בהתנהלות זו הפר ג'ון את חובות תום הלב והנאמנות המוטלות על עובד, וסיכל את התכלית שלשמה נוצר ההסדר. החזרתו לשעות הבוקר, שבהן לימד שנתיים, היא תגובה מידתית שאינה אלא השבת המצב לקדמותו.</w:t>
      </w:r>
    </w:p>
    <w:p>
      <w:pPr>
        <w:bidi/>
        <w:spacing w:after="160" w:before="240" w:line="360"/>
        <w:jc w:val="right"/>
      </w:pPr>
      <w:r>
        <w:rPr>
          <w:rFonts w:ascii="David" w:cs="David" w:eastAsia="David" w:hAnsi="David"/>
          <w:b/>
          <w:bCs/>
          <w:sz w:val="26"/>
          <w:szCs w:val="26"/>
          <w:rtl/>
        </w:rPr>
        <w:t xml:space="preserve">שאלה ב: האופניים החשמליות</w:t>
      </w:r>
    </w:p>
    <w:p>
      <w:pPr>
        <w:bidi/>
        <w:spacing w:after="120" w:line="360"/>
        <w:jc w:val="both"/>
      </w:pPr>
      <w:r>
        <w:rPr>
          <w:rFonts w:ascii="David" w:cs="David" w:eastAsia="David" w:hAnsi="David"/>
          <w:b w:val="false"/>
          <w:bCs w:val="false"/>
          <w:sz w:val="24"/>
          <w:szCs w:val="24"/>
          <w:rtl/>
        </w:rPr>
        <w:t xml:space="preserve">ג'ון יטען כי האופניים הוצגו במפורש כמתנה, בלא כל תנאי, וכי מתנה שהושלמה אינה ניתנת לביטול. לחלופין מדובר בהטבה שהפכה חלק מתנאי עבודתו, ונטילתה היא פגיעה חד-צדדית נוספת בתנאים אלה, חמורה במיוחד לאחר שמכר את רכבו בהסתמך עליה. טענה נפרדת נוגעת לפרטיות: מכשיר המעקב הותקן למטרה אחת, הגנה מפני גניבה, והמנהל השתמש בו כדי להתחקות אחר מעשיו בשעות שאינן שעות עבודה. לפי הלכת איסקוב (ע"ע (ארצי) 90/08), מעקב טכנולוגי אחר עובד כפוף לעקרונות הלגיטימיות, צמידות המטרה, המידתיות והשקיפות, וחריגה מהם עולה כדי פגיעה בפרטיות לפי חוק הגנת הפרטיות, התשמ"א-1981.</w:t>
      </w:r>
    </w:p>
    <w:p>
      <w:pPr>
        <w:bidi/>
        <w:spacing w:after="120" w:line="360"/>
        <w:jc w:val="both"/>
      </w:pPr>
      <w:r>
        <w:rPr>
          <w:rFonts w:ascii="David" w:cs="David" w:eastAsia="David" w:hAnsi="David"/>
          <w:b w:val="false"/>
          <w:bCs w:val="false"/>
          <w:sz w:val="24"/>
          <w:szCs w:val="24"/>
          <w:rtl/>
        </w:rPr>
        <w:t xml:space="preserve">המנהל יטען כי האופניים לא היו מתנה מוחלטת אלא תמריץ שכל תכליתו לאפשר את המעבר להוראת ערב, ומשבוטל השיבוץ בטל גם בסיס ההטבה. אשר למעקב, המכשיר היה גלוי וידוע לג'ון, נועד לשמור על רכוש שנרכש בכספי בית הספר, והנתונים נבדקו פעם אחת בלבד, לאחר שהצטבר חשד ממשי בעקבות תלונותיו החוזרות של ג'ון על עייפות. הבדיקה נעשתה לתכלית לגיטימית, בהיקף מצומצם, והעלתה עובדה שלמעסיק עניין ישיר בה: עבודה נוספת הפוגעת בכשירותו של המורה.</w:t>
      </w:r>
    </w:p>
    <w:p>
      <w:pPr>
        <w:bidi/>
        <w:spacing w:after="160" w:before="240" w:line="360"/>
        <w:jc w:val="right"/>
      </w:pPr>
      <w:r>
        <w:rPr>
          <w:rFonts w:ascii="David" w:cs="David" w:eastAsia="David" w:hAnsi="David"/>
          <w:b/>
          <w:bCs/>
          <w:sz w:val="26"/>
          <w:szCs w:val="26"/>
          <w:rtl/>
        </w:rPr>
        <w:t xml:space="preserve">שאלה ג: ההתפטרות</w:t>
      </w:r>
    </w:p>
    <w:p>
      <w:pPr>
        <w:bidi/>
        <w:spacing w:after="120" w:line="360"/>
        <w:jc w:val="both"/>
      </w:pPr>
      <w:r>
        <w:rPr>
          <w:rFonts w:ascii="David" w:cs="David" w:eastAsia="David" w:hAnsi="David"/>
          <w:b w:val="false"/>
          <w:bCs w:val="false"/>
          <w:sz w:val="24"/>
          <w:szCs w:val="24"/>
          <w:rtl/>
        </w:rPr>
        <w:t xml:space="preserve">ג'ון יטען כי התפטרותו באה בתגובה להרעה מוחשית בתנאי עבודתו, שינוי השעות הכפוי ושלילת האופניים, ולכן היא התפטרות בדין מפוטר לפי סעיף 11(א) לחוק פיצויי פיטורים, התשכ"ג-1963, המזכה אותו בפיצויי פיטורים כאילו פוטר. למצער נוצרו נסיבות שביחסי עבודה שבהן לא ניתן היה לדרוש ממנו להמשיך בעבודתו.</w:t>
      </w:r>
    </w:p>
    <w:p>
      <w:pPr>
        <w:bidi/>
        <w:spacing w:after="120" w:line="360"/>
        <w:jc w:val="both"/>
      </w:pPr>
      <w:r>
        <w:rPr>
          <w:rFonts w:ascii="David" w:cs="David" w:eastAsia="David" w:hAnsi="David"/>
          <w:b w:val="false"/>
          <w:bCs w:val="false"/>
          <w:sz w:val="24"/>
          <w:szCs w:val="24"/>
          <w:rtl/>
        </w:rPr>
        <w:t xml:space="preserve">המנהל ישיב כי מדובר בהתפטרות רגילה ומרצון. הפסיקה דורשת מעובד המבקש להיבנות מסעיף 11(א) להתריע לפני המעסיק ולאפשר לו לתקן את ההרעה, ואילו ג'ון התפטר בו ביום, בלא כל פנייה מוקדמת. אין גם הרעה מוחשית, שהרי הוא הושב לאותם תנאים שבהם עבד שנתיים בלא טרוניה. משהתפטר בלא הודעה מוקדמת, זכאי המעסיק אף לתמורת הודעה מוקדמת מכוח חוק הודעה מוקדמת לפיטורים ולהתפטרות, התשס"א-2001.</w:t>
      </w:r>
    </w:p>
    <w:p>
      <w:r>
        <w:br w:type="page"/>
      </w:r>
    </w:p>
    <w:p>
      <w:pPr>
        <w:bidi/>
        <w:spacing w:after="160" w:before="0" w:line="360"/>
        <w:jc w:val="right"/>
      </w:pPr>
      <w:r>
        <w:rPr>
          <w:rFonts w:ascii="David" w:cs="David" w:eastAsia="David" w:hAnsi="David"/>
          <w:b/>
          <w:bCs/>
          <w:sz w:val="28"/>
          <w:szCs w:val="28"/>
          <w:u w:val="single"/>
          <w:rtl/>
        </w:rPr>
        <w:t xml:space="preserve">אירוע 3: ורד וחברת "מחשוב"</w:t>
      </w:r>
    </w:p>
    <w:p>
      <w:pPr>
        <w:bidi/>
        <w:spacing w:after="160" w:before="240" w:line="360"/>
        <w:jc w:val="right"/>
      </w:pPr>
      <w:r>
        <w:rPr>
          <w:rFonts w:ascii="David" w:cs="David" w:eastAsia="David" w:hAnsi="David"/>
          <w:b/>
          <w:bCs/>
          <w:sz w:val="26"/>
          <w:szCs w:val="26"/>
          <w:rtl/>
        </w:rPr>
        <w:t xml:space="preserve">שאלה א: טענות ורד וטענות החברה</w:t>
      </w:r>
    </w:p>
    <w:p>
      <w:pPr>
        <w:bidi/>
        <w:spacing w:after="120" w:line="360"/>
        <w:jc w:val="both"/>
      </w:pPr>
      <w:r>
        <w:rPr>
          <w:rFonts w:ascii="David" w:cs="David" w:eastAsia="David" w:hAnsi="David"/>
          <w:b w:val="false"/>
          <w:bCs w:val="false"/>
          <w:sz w:val="24"/>
          <w:szCs w:val="24"/>
          <w:rtl/>
        </w:rPr>
        <w:t xml:space="preserve">ורד תטען כי חרף הכותרת "עצמאית", בפועל התקיימו בינה ובין חברת "מחשוב" יחסי עבודה. מעמד העובד הוא סטטוס הנקבע לפי מהות הקשר ולא לפי צורת התשלום או כינויו בפי הצדדים. לפי המבחן המעורב שבמרכזו מבחן ההשתלבות (ע"ע 300256/98 אייזק נ' תה"ל), היא השתלבה במערך הרגיל של החברה: חדר ייעודי השמור לה, עבודה במחשבי החברה, יום קבוע בשבוע במשך עשר שנים, עשר שעות ביום, ודרישה מפורשת של החברה שהשירות יינתן על ידה אישית ולא בידי אחר. אף התמורה שסוכמה כללה רכיבי נסיעות וימי חופשה, סממן מובהק של יחסי עבודה. בפן השלילי, מול החברה לא ניהלה עסק משל עצמה: לא נשאה בסיכוני רווח והפסד ולא סיפקה ציוד. עבודתה אצל ארבעה לקוחות נוספים אינה מכרעת, שכן אדם יכול להיות עובדם של כמה מעסיקים. אם כך, ניתוק הקשר המיידי הוא פיטורים שלא כדין, בלא שימוע, בלא הודעה מוקדמת ובלא פיצויי פיטורים, והיא זכאית גם להשלמת זכויות העבר: פנסיה, פדיון חופשה ודמי הבראה.</w:t>
      </w:r>
    </w:p>
    <w:p>
      <w:pPr>
        <w:bidi/>
        <w:spacing w:after="120" w:line="360"/>
        <w:jc w:val="both"/>
      </w:pPr>
      <w:r>
        <w:rPr>
          <w:rFonts w:ascii="David" w:cs="David" w:eastAsia="David" w:hAnsi="David"/>
          <w:b w:val="false"/>
          <w:bCs w:val="false"/>
          <w:sz w:val="24"/>
          <w:szCs w:val="24"/>
          <w:rtl/>
        </w:rPr>
        <w:t xml:space="preserve">החברה תטען כי ורד בחרה במסלול העצמאי ופעלה בו כעצמאית לכל דבר במשך עשור: הוציאה חשבוניות, שירתה חמישה לקוחות במקביל, קבעה את מחיריה וניהלה משא ומתן עסקי שבו אף איימה להפסיק את השירות אם לא ייענו דרישותיה. תמורתה הוכפלה ל-100 ש"ח לשעה ונקבע במפורש שהיא כוללת נסיעות וחופשה, סכום העולה בהרבה על שכרה של שכירה מקבילה. העלאת טענת יחסי העבודה רק לאחר סיום הקשר לוקה בחוסר תום לב, ולחלופין, אם תוכר כעובדת, יש לערוך התחשבנות: לחשב את הזכויות לפי שכר חלופי של שכירה ולקזז את התמורה העודפת ששולמה, כפי שנפסק בעניין רופא (ע"ע 110/10 רופא נ' מרקם). מכל מקום, הפסקת התקשרות מסחרית מותרת, בכפוף לתום לב ולהודעה סבירה.</w:t>
      </w:r>
    </w:p>
    <w:p>
      <w:pPr>
        <w:bidi/>
        <w:spacing w:after="160" w:before="240" w:line="360"/>
        <w:jc w:val="right"/>
      </w:pPr>
      <w:r>
        <w:rPr>
          <w:rFonts w:ascii="David" w:cs="David" w:eastAsia="David" w:hAnsi="David"/>
          <w:b/>
          <w:bCs/>
          <w:sz w:val="26"/>
          <w:szCs w:val="26"/>
          <w:rtl/>
        </w:rPr>
        <w:t xml:space="preserve">שאלה ב: כיצד היה על החברה לנהוג</w:t>
      </w:r>
    </w:p>
    <w:p>
      <w:pPr>
        <w:bidi/>
        <w:spacing w:after="120" w:line="360"/>
        <w:jc w:val="both"/>
      </w:pPr>
      <w:r>
        <w:rPr>
          <w:rFonts w:ascii="David" w:cs="David" w:eastAsia="David" w:hAnsi="David"/>
          <w:b w:val="false"/>
          <w:bCs w:val="false"/>
          <w:sz w:val="24"/>
          <w:szCs w:val="24"/>
          <w:rtl/>
        </w:rPr>
        <w:t xml:space="preserve">אם ורד עובדת, סיום הקשר חייב היה להתנהל כהליך פיטורים מסודר. תחילתו בהזמנה לשימוע, ובה פירוט הטעמים הנשקלים, העלות והחלופה הזולה, מתן זמן להתכונן ושמיעת עמדתה בלב פתוח בטרם הכרעה. המשכו במתן הודעה מוקדמת בכתב לפי חוק הודעה מוקדמת לפיטורים ולהתפטרות, התשס"א-2001, שבוותק של עשר שנים עומדת על חודש ימים, או בתשלום תמורתה. סופו בתשלום פיצויי פיטורים לפי חוק פיצויי פיטורים, התשכ"ג-1963, בהתאם לשכר הקובע ולוותק, ובהשלמת הזכויות שלא שולמו לאורך השנים: הפרשות פנסיוניות מכוח צו ההרחבה לביטוח פנסיוני מקיף במשק, פדיון חופשה לפי חוק חופשה שנתית, התשי"א-1951, ודמי הבראה. חילופי המנהלים אינם גורעים מחובות אלה, המוטלות על החברה עצמה, וסיום קשר בן עשור מחייב הגינות ודרך מקובלת, לא הודעה על ניתוק בן רגע.</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5ce4fdf76b58d4cf0096412ef177958ae578a9.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2026-08-27T08:13:59.037Z</dcterms:created>
  <dcterms:modified xsi:type="dcterms:W3CDTF">2026-08-27T08:13:59.054Z</dcterms:modified>
</cp:coreProperties>
</file>

<file path=docProps/custom.xml><?xml version="1.0" encoding="utf-8"?>
<Properties xmlns="http://schemas.openxmlformats.org/officeDocument/2006/custom-properties" xmlns:vt="http://schemas.openxmlformats.org/officeDocument/2006/docPropsVTypes"/>
</file>