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bidi/>
        <w:spacing w:after="120" w:before="120" w:line="360"/>
        <w:jc w:val="center"/>
      </w:pPr>
      <w:r>
        <w:rPr>
          <w:rFonts w:ascii="David" w:cs="David" w:eastAsia="David" w:hAnsi="David"/>
          <w:b/>
          <w:bCs/>
          <w:sz w:val="32"/>
          <w:szCs w:val="32"/>
          <w:rtl/>
        </w:rPr>
        <w:t xml:space="preserve">הקריה האקדמית אונו</w:t>
      </w:r>
    </w:p>
    <w:p>
      <w:pPr>
        <w:bidi/>
        <w:spacing w:after="120" w:before="0" w:line="360"/>
        <w:jc w:val="center"/>
      </w:pPr>
      <w:r>
        <w:rPr>
          <w:rFonts w:ascii="David" w:cs="David" w:eastAsia="David" w:hAnsi="David"/>
          <w:b w:val="false"/>
          <w:bCs w:val="false"/>
          <w:sz w:val="26"/>
          <w:szCs w:val="26"/>
          <w:rtl/>
        </w:rPr>
        <w:t xml:space="preserve">הפקולטה למנהל עסקים, תואר ראשון</w:t>
      </w:r>
    </w:p>
    <w:p>
      <w:pPr>
        <w:bidi/>
        <w:spacing w:after="120" w:before="0" w:line="360"/>
        <w:jc w:val="center"/>
      </w:pPr>
      <w:r>
        <w:rPr>
          <w:rFonts w:ascii="David" w:cs="David" w:eastAsia="David" w:hAnsi="David"/>
          <w:b w:val="false"/>
          <w:bCs w:val="false"/>
          <w:sz w:val="26"/>
          <w:szCs w:val="26"/>
          <w:rtl/>
        </w:rPr>
        <w:t xml:space="preserve">חשבונאות</w:t>
      </w:r>
    </w:p>
    <w:p>
      <w:pPr>
        <w:bidi/>
        <w:spacing w:after="480" w:before="0" w:line="360"/>
        <w:jc w:val="center"/>
      </w:pPr>
      <w:r>
        <w:rPr>
          <w:rFonts w:ascii="David" w:cs="David" w:eastAsia="David" w:hAnsi="David"/>
          <w:b w:val="false"/>
          <w:bCs w:val="false"/>
          <w:sz w:val="26"/>
          <w:szCs w:val="26"/>
          <w:rtl/>
        </w:rPr>
        <w:t xml:space="preserve">שנת הלימודים תשפ"ו, סמסטר 2</w:t>
      </w:r>
    </w:p>
    <w:p>
      <w:pPr>
        <w:bidi/>
        <w:spacing w:after="240" w:before="0" w:line="360"/>
        <w:jc w:val="center"/>
      </w:pPr>
      <w:r>
        <w:rPr>
          <w:rFonts w:ascii="David" w:cs="David" w:eastAsia="David" w:hAnsi="David"/>
          <w:b/>
          <w:bCs/>
          <w:sz w:val="30"/>
          <w:szCs w:val="30"/>
          <w:rtl/>
        </w:rPr>
        <w:t xml:space="preserve">עבודת גמר בקורס: דיני עבודה (קורס חובה)</w:t>
      </w:r>
    </w:p>
    <w:p>
      <w:pPr>
        <w:bidi/>
        <w:spacing w:after="600" w:before="0" w:line="360"/>
        <w:jc w:val="center"/>
      </w:pPr>
      <w:r>
        <w:rPr>
          <w:rFonts w:ascii="David" w:cs="David" w:eastAsia="David" w:hAnsi="David"/>
          <w:b/>
          <w:bCs/>
          <w:sz w:val="28"/>
          <w:szCs w:val="28"/>
          <w:rtl/>
        </w:rPr>
        <w:t xml:space="preserve">נושא העבודה: ניתוח טענות הצדדים בשלושה אירועים ביחסי עבודה</w:t>
      </w:r>
    </w:p>
    <w:p>
      <w:pPr>
        <w:bidi/>
        <w:spacing w:after="120" w:before="0" w:line="360"/>
        <w:jc w:val="center"/>
      </w:pPr>
      <w:r>
        <w:rPr>
          <w:rFonts w:ascii="David" w:cs="David" w:eastAsia="David" w:hAnsi="David"/>
          <w:b w:val="false"/>
          <w:bCs w:val="false"/>
          <w:sz w:val="24"/>
          <w:szCs w:val="24"/>
          <w:rtl/>
        </w:rPr>
        <w:t xml:space="preserve">שם המרצה (המנחה): ד"ר ירון קטן</w:t>
      </w:r>
    </w:p>
    <w:p>
      <w:pPr>
        <w:bidi/>
        <w:spacing w:after="480" w:before="0" w:line="360"/>
        <w:jc w:val="center"/>
      </w:pPr>
      <w:r>
        <w:rPr>
          <w:rFonts w:ascii="David" w:cs="David" w:eastAsia="David" w:hAnsi="David"/>
          <w:b w:val="false"/>
          <w:bCs w:val="false"/>
          <w:sz w:val="24"/>
          <w:szCs w:val="24"/>
          <w:rtl/>
        </w:rPr>
        <w:t xml:space="preserve">מתרגלת: עו"ד סימי יפית דרי</w:t>
      </w:r>
    </w:p>
    <w:p>
      <w:pPr>
        <w:bidi/>
        <w:spacing w:after="120" w:before="0" w:line="360"/>
        <w:jc w:val="center"/>
      </w:pPr>
      <w:r>
        <w:rPr>
          <w:rFonts w:ascii="David" w:cs="David" w:eastAsia="David" w:hAnsi="David"/>
          <w:b w:val="false"/>
          <w:bCs w:val="false"/>
          <w:sz w:val="24"/>
          <w:szCs w:val="24"/>
          <w:rtl/>
        </w:rPr>
        <w:t xml:space="preserve">שם הסטודנט: ____________________</w:t>
      </w:r>
    </w:p>
    <w:p>
      <w:pPr>
        <w:bidi/>
        <w:spacing w:after="480" w:before="0" w:line="360"/>
        <w:jc w:val="center"/>
      </w:pPr>
      <w:r>
        <w:rPr>
          <w:rFonts w:ascii="David" w:cs="David" w:eastAsia="David" w:hAnsi="David"/>
          <w:b w:val="false"/>
          <w:bCs w:val="false"/>
          <w:sz w:val="24"/>
          <w:szCs w:val="24"/>
          <w:rtl/>
        </w:rPr>
        <w:t xml:space="preserve">ת"ז: ____________________</w:t>
      </w:r>
    </w:p>
    <w:p>
      <w:pPr>
        <w:bidi/>
        <w:spacing w:after="120" w:before="0" w:line="360"/>
        <w:jc w:val="center"/>
      </w:pPr>
      <w:r>
        <w:rPr>
          <w:rFonts w:ascii="David" w:cs="David" w:eastAsia="David" w:hAnsi="David"/>
          <w:b w:val="false"/>
          <w:bCs w:val="false"/>
          <w:sz w:val="24"/>
          <w:szCs w:val="24"/>
          <w:rtl/>
        </w:rPr>
        <w:t xml:space="preserve">מועד הגשה: אלול תשפ"ו, אוגוסט 2026</w:t>
      </w:r>
    </w:p>
    <w:p>
      <w:r>
        <w:br w:type="page"/>
      </w:r>
    </w:p>
    <w:p>
      <w:pPr>
        <w:bidi/>
        <w:spacing w:after="160" w:before="0" w:line="360"/>
        <w:jc w:val="right"/>
      </w:pPr>
      <w:r>
        <w:rPr>
          <w:rFonts w:ascii="David" w:cs="David" w:eastAsia="David" w:hAnsi="David"/>
          <w:b/>
          <w:bCs/>
          <w:sz w:val="28"/>
          <w:szCs w:val="28"/>
          <w:u w:val="single"/>
          <w:rtl/>
        </w:rPr>
        <w:t xml:space="preserve">אירוע 1: צבי, המלצר הסטודנט</w:t>
      </w:r>
    </w:p>
    <w:p>
      <w:pPr>
        <w:bidi/>
        <w:spacing w:after="160" w:before="240" w:line="360"/>
        <w:jc w:val="right"/>
      </w:pPr>
      <w:r>
        <w:rPr>
          <w:rFonts w:ascii="David" w:cs="David" w:eastAsia="David" w:hAnsi="David"/>
          <w:b/>
          <w:bCs/>
          <w:sz w:val="26"/>
          <w:szCs w:val="26"/>
          <w:rtl/>
        </w:rPr>
        <w:t xml:space="preserve">א. טענות הצדדים בנוגע לדרך ההעסקה</w:t>
      </w:r>
    </w:p>
    <w:p>
      <w:pPr>
        <w:bidi/>
        <w:spacing w:after="120" w:line="360"/>
        <w:jc w:val="both"/>
      </w:pPr>
      <w:r>
        <w:rPr>
          <w:rFonts w:ascii="David" w:cs="David" w:eastAsia="David" w:hAnsi="David"/>
          <w:b/>
          <w:bCs/>
          <w:sz w:val="24"/>
          <w:szCs w:val="24"/>
          <w:rtl/>
        </w:rPr>
        <w:t xml:space="preserve">עמדת צבי: </w:t>
      </w:r>
      <w:r>
        <w:rPr>
          <w:rFonts w:ascii="David" w:cs="David" w:eastAsia="David" w:hAnsi="David"/>
          <w:b w:val="false"/>
          <w:bCs w:val="false"/>
          <w:sz w:val="24"/>
          <w:szCs w:val="24"/>
          <w:rtl/>
        </w:rPr>
        <w:t xml:space="preserve">ההסדר של "השלמת שעות" הוא פיקציה שאין לה עיגון בדין. חוזה העבודה שלו הוא חוזה שעתי, ולכן היעדרות בימי לימודים, שהייתה ידועה ומוסכמת מראש, משמעה רק שלא ישולם שכר בעד אותן שעות. חוק שעות עבודה ומנוחה, התשי"א-1951, מגביל את יום העבודה ומחייב גמול שעות נוספות של 125% ו-150%, ומשמרות של 8, 12 ו-16 שעות שנכפו עליו הן שעות נוספות שלא תוגמלו כלל. העסקה של 16 שעות ביממה אסורה אף בהסכמה, שכן ההיתר הכללי מתיר לכל היותר 12 שעות ביום. הואיל ומדובר בחוק מגן קוגנטי, אין כל נפקות להסכמתו של עובד להסדר הפוגע בזכויותיו.</w:t>
      </w:r>
    </w:p>
    <w:p>
      <w:pPr>
        <w:bidi/>
        <w:spacing w:after="120" w:line="360"/>
        <w:jc w:val="both"/>
      </w:pPr>
      <w:r>
        <w:rPr>
          <w:rFonts w:ascii="David" w:cs="David" w:eastAsia="David" w:hAnsi="David"/>
          <w:b/>
          <w:bCs/>
          <w:sz w:val="24"/>
          <w:szCs w:val="24"/>
          <w:rtl/>
        </w:rPr>
        <w:t xml:space="preserve">עמדת בעל המסעדה: </w:t>
      </w:r>
      <w:r>
        <w:rPr>
          <w:rFonts w:ascii="David" w:cs="David" w:eastAsia="David" w:hAnsi="David"/>
          <w:b w:val="false"/>
          <w:bCs w:val="false"/>
          <w:sz w:val="24"/>
          <w:szCs w:val="24"/>
          <w:rtl/>
        </w:rPr>
        <w:t xml:space="preserve">צבי התקבל לעבודה על בסיס מכסת שעות מוסכמת, וההשלמות נועדו לשמור עליה במסגרת שבועית וחודשית, לבקשתו של צבי עצמו וכדי לאפשר לו גמישות בתקופת הלימודים והמבחנים. צבי אף הרוויח מן ההסדר, שהבטיח לו שכר מלא חרף היעדרויות מרובות. מי שביקש הסדר, נהנה ממנו לאורך זמן ותוקף אותו רק לאחר פיטוריו, פועל בחוסר תום לב. טענות אלה יתקשו לגבור על הקוגנטיות של חוקי המגן, אך הן עשויות להשליך על שיקול הדעת בפסיקת הסעדים.</w:t>
      </w:r>
    </w:p>
    <w:p>
      <w:pPr>
        <w:bidi/>
        <w:spacing w:after="160" w:before="240" w:line="360"/>
        <w:jc w:val="right"/>
      </w:pPr>
      <w:r>
        <w:rPr>
          <w:rFonts w:ascii="David" w:cs="David" w:eastAsia="David" w:hAnsi="David"/>
          <w:b/>
          <w:bCs/>
          <w:sz w:val="26"/>
          <w:szCs w:val="26"/>
          <w:rtl/>
        </w:rPr>
        <w:t xml:space="preserve">ב. טענות הצדדים בנוגע לשכר</w:t>
      </w:r>
    </w:p>
    <w:p>
      <w:pPr>
        <w:bidi/>
        <w:spacing w:after="120" w:line="360"/>
        <w:jc w:val="both"/>
      </w:pPr>
      <w:r>
        <w:rPr>
          <w:rFonts w:ascii="David" w:cs="David" w:eastAsia="David" w:hAnsi="David"/>
          <w:b/>
          <w:bCs/>
          <w:sz w:val="24"/>
          <w:szCs w:val="24"/>
          <w:rtl/>
        </w:rPr>
        <w:t xml:space="preserve">עמדת צבי: </w:t>
      </w:r>
      <w:r>
        <w:rPr>
          <w:rFonts w:ascii="David" w:cs="David" w:eastAsia="David" w:hAnsi="David"/>
          <w:b w:val="false"/>
          <w:bCs w:val="false"/>
          <w:sz w:val="24"/>
          <w:szCs w:val="24"/>
          <w:rtl/>
        </w:rPr>
        <w:t xml:space="preserve">תשלום שכר הנמוך משכר המינימום הוא הפרה ישירה של חוק שכר מינימום, התשמ"ז-1987, המזכה בהפרשי שכר, ובצדה עומדת הזכות לפיצויי הלנת שכר לפי חוק הגנת השכר, התשי"ח-1958. בעניין הטיפים, ההלכה שנקבעה בעניין קיס (ע"ע (ארצי) 44510-04-13, 2018) רואה בתשר בענף המסעדנות הכנסה של בית העסק המשמשת לתשלום שכר, בין שעבר בקופה ובין שלא. מכאן שהתשר הוא רכיב שכר לכל דבר, והזכויות הסוציאליות, ובראשן ההפרשות הפנסיוניות, מחושבות גם עליו. דרישתו מהמנהל שיקפה אפוא את הדין כפשוטו.</w:t>
      </w:r>
    </w:p>
    <w:p>
      <w:pPr>
        <w:bidi/>
        <w:spacing w:after="120" w:line="360"/>
        <w:jc w:val="both"/>
      </w:pPr>
      <w:r>
        <w:rPr>
          <w:rFonts w:ascii="David" w:cs="David" w:eastAsia="David" w:hAnsi="David"/>
          <w:b/>
          <w:bCs/>
          <w:sz w:val="24"/>
          <w:szCs w:val="24"/>
          <w:rtl/>
        </w:rPr>
        <w:t xml:space="preserve">עמדת בעל המסעדה: </w:t>
      </w:r>
      <w:r>
        <w:rPr>
          <w:rFonts w:ascii="David" w:cs="David" w:eastAsia="David" w:hAnsi="David"/>
          <w:b w:val="false"/>
          <w:bCs w:val="false"/>
          <w:sz w:val="24"/>
          <w:szCs w:val="24"/>
          <w:rtl/>
        </w:rPr>
        <w:t xml:space="preserve">הטיפים שנטל צבי במזומן הם שכרו האמיתי, ובהצטרפם לשכר הבסיס קיבל הרבה מעבר לשכר המינימום. לחלופין ייטען שהתשר הוא מתנה וולונטרית מהלקוח למלצר ואינו שכר שמשלם המעסיק, ומכל מקום כספי התשר היו אמורים להגיע לקופת המסעדה ולא לכיסו הפרטי של צבי. ואולם עמדה זו נחלשת נוכח הלכת קיס: מעסיק אינו יכול להסתמך על התשר לצורך עמידה בשכר המינימום ובה בעת להתנער מהעלויות הסוציאליות הנגזרות ממנו.</w:t>
      </w:r>
    </w:p>
    <w:p>
      <w:pPr>
        <w:bidi/>
        <w:spacing w:after="160" w:before="240" w:line="360"/>
        <w:jc w:val="right"/>
      </w:pPr>
      <w:r>
        <w:rPr>
          <w:rFonts w:ascii="David" w:cs="David" w:eastAsia="David" w:hAnsi="David"/>
          <w:b/>
          <w:bCs/>
          <w:sz w:val="26"/>
          <w:szCs w:val="26"/>
          <w:rtl/>
        </w:rPr>
        <w:t xml:space="preserve">ג. טענות הצדדים בנוגע לפיטורים</w:t>
      </w:r>
    </w:p>
    <w:p>
      <w:pPr>
        <w:bidi/>
        <w:spacing w:after="120" w:line="360"/>
        <w:jc w:val="both"/>
      </w:pPr>
      <w:r>
        <w:rPr>
          <w:rFonts w:ascii="David" w:cs="David" w:eastAsia="David" w:hAnsi="David"/>
          <w:b/>
          <w:bCs/>
          <w:sz w:val="24"/>
          <w:szCs w:val="24"/>
          <w:rtl/>
        </w:rPr>
        <w:t xml:space="preserve">עמדת צבי: </w:t>
      </w:r>
      <w:r>
        <w:rPr>
          <w:rFonts w:ascii="David" w:cs="David" w:eastAsia="David" w:hAnsi="David"/>
          <w:b w:val="false"/>
          <w:bCs w:val="false"/>
          <w:sz w:val="24"/>
          <w:szCs w:val="24"/>
          <w:rtl/>
        </w:rPr>
        <w:t xml:space="preserve">הפיטורים "לאלתר" נעשו בלא הליך: לא נמסרה הזמנה לשימוע, לא ניתנה לו הזדמנות להשמיע את דברו, ולא ניתנה הודעה מוקדמת לפי חוק הודעה מוקדמת לפיטורים ולהתפטרות, התשס"א-2001. הפגם המהותי חמור אף יותר: הוא פוטר בתגובה ישירה לדרישתו לחשב הפרשות פנסיה על התשר, כלומר על עמידה על זכות המוקנית לו בדין. פיטורים כאלה נגועים במניע פסול ובחוסר תום לב, ובתי הדין פוסקים בגינם פיצוי מעבר לפיצויי הפיטורים הרגילים.</w:t>
      </w:r>
    </w:p>
    <w:p>
      <w:pPr>
        <w:bidi/>
        <w:spacing w:after="120" w:line="360"/>
        <w:jc w:val="both"/>
      </w:pPr>
      <w:r>
        <w:rPr>
          <w:rFonts w:ascii="David" w:cs="David" w:eastAsia="David" w:hAnsi="David"/>
          <w:b/>
          <w:bCs/>
          <w:sz w:val="24"/>
          <w:szCs w:val="24"/>
          <w:rtl/>
        </w:rPr>
        <w:t xml:space="preserve">עמדת בעל המסעדה: </w:t>
      </w:r>
      <w:r>
        <w:rPr>
          <w:rFonts w:ascii="David" w:cs="David" w:eastAsia="David" w:hAnsi="David"/>
          <w:b w:val="false"/>
          <w:bCs w:val="false"/>
          <w:sz w:val="24"/>
          <w:szCs w:val="24"/>
          <w:rtl/>
        </w:rPr>
        <w:t xml:space="preserve">הפררוגטיבה הניהולית כוללת את הסמכות לסיים העסקה, והעילה כאן היא אבדן אמון מוחלט: עובד שנטל לכיסו כספים השייכים לעסק והציב תנאים להשבתם. בנסיבות של מעילה באמון רשאי מעסיק לפטר לאלתר, ואף לעתור לשלילת פיצויי הפיטורים וההודעה המוקדמת מכוח סעיפים 16-17 לחוק פיצויי פיטורים, התשכ"ג-1963. חולשתה של עמדה זו בכך שחובת השימוע חלה גם בפיטורי משמעת, ומיידיות ההחלטה תיזקף לחובתו.</w:t>
      </w:r>
    </w:p>
    <w:p>
      <w:r>
        <w:br w:type="page"/>
      </w:r>
    </w:p>
    <w:p>
      <w:pPr>
        <w:bidi/>
        <w:spacing w:after="160" w:before="0" w:line="360"/>
        <w:jc w:val="right"/>
      </w:pPr>
      <w:r>
        <w:rPr>
          <w:rFonts w:ascii="David" w:cs="David" w:eastAsia="David" w:hAnsi="David"/>
          <w:b/>
          <w:bCs/>
          <w:sz w:val="28"/>
          <w:szCs w:val="28"/>
          <w:u w:val="single"/>
          <w:rtl/>
        </w:rPr>
        <w:t xml:space="preserve">אירוע 2: ג'ון, המורה והאופניים</w:t>
      </w:r>
    </w:p>
    <w:p>
      <w:pPr>
        <w:bidi/>
        <w:spacing w:after="160" w:before="240" w:line="360"/>
        <w:jc w:val="right"/>
      </w:pPr>
      <w:r>
        <w:rPr>
          <w:rFonts w:ascii="David" w:cs="David" w:eastAsia="David" w:hAnsi="David"/>
          <w:b/>
          <w:bCs/>
          <w:sz w:val="26"/>
          <w:szCs w:val="26"/>
          <w:rtl/>
        </w:rPr>
        <w:t xml:space="preserve">א. טענות הצדדים בנוגע לשיבוץ שעות העבודה</w:t>
      </w:r>
    </w:p>
    <w:p>
      <w:pPr>
        <w:bidi/>
        <w:spacing w:after="120" w:line="360"/>
        <w:jc w:val="both"/>
      </w:pPr>
      <w:r>
        <w:rPr>
          <w:rFonts w:ascii="David" w:cs="David" w:eastAsia="David" w:hAnsi="David"/>
          <w:b/>
          <w:bCs/>
          <w:sz w:val="24"/>
          <w:szCs w:val="24"/>
          <w:rtl/>
        </w:rPr>
        <w:t xml:space="preserve">עמדת ג'ון: </w:t>
      </w:r>
      <w:r>
        <w:rPr>
          <w:rFonts w:ascii="David" w:cs="David" w:eastAsia="David" w:hAnsi="David"/>
          <w:b w:val="false"/>
          <w:bCs w:val="false"/>
          <w:sz w:val="24"/>
          <w:szCs w:val="24"/>
          <w:rtl/>
        </w:rPr>
        <w:t xml:space="preserve">שיבוצו בתוכנית הערב נקבע בהסכמת שני הצדדים ואף גובה בתמריץ ממשי, ולכן הוא תנאי מתנאי חוזה העבודה האישי. הלכת מילפלדר (בג"ץ 239/83) שוללת מכל צד את הכוח לשנות תנאי חוזי באופן חד-צדדי, והפסיקה שבה וקבעה כי גם סמכויות ניהול מובהקות מופעלות בכפוף לתום לב, לסבירות ולמידתיות (דב"ע נד/3-86 גולן נ' אי.אל.די). כאן ההחלטה נפלה "באופן מיידי", בלא בירור עמו ובלא שנשקלה חלופה מתונה, והיא מתעלמת מהסתמכותו: הוא מכר את רכבו ובנה את סדר יומו על עבודת הערב.</w:t>
      </w:r>
    </w:p>
    <w:p>
      <w:pPr>
        <w:bidi/>
        <w:spacing w:after="120" w:line="360"/>
        <w:jc w:val="both"/>
      </w:pPr>
      <w:r>
        <w:rPr>
          <w:rFonts w:ascii="David" w:cs="David" w:eastAsia="David" w:hAnsi="David"/>
          <w:b/>
          <w:bCs/>
          <w:sz w:val="24"/>
          <w:szCs w:val="24"/>
          <w:rtl/>
        </w:rPr>
        <w:t xml:space="preserve">עמדת המנהל: </w:t>
      </w:r>
      <w:r>
        <w:rPr>
          <w:rFonts w:ascii="David" w:cs="David" w:eastAsia="David" w:hAnsi="David"/>
          <w:b w:val="false"/>
          <w:bCs w:val="false"/>
          <w:sz w:val="24"/>
          <w:szCs w:val="24"/>
          <w:rtl/>
        </w:rPr>
        <w:t xml:space="preserve">קביעת מערכת השעות ושיבוץ מורים הם לב לבה של סמכות הניהול, שנועדה להבטיח את תפקוד בית הספר. ההצעה לעבור לערב יצאה מנקודת הנחה שהמורה ישמור על כשירותו, ואילו ג'ון ניצל את שעות היום לעבודת שליחויות והגיע לשיעורים עייף עד כדי אי-תפקוד, תוך הפרת חובות הנאמנות ותום הלב שהוא חב כעובד. ההחזרה לבוקר איננה שינוי חוזי אלא ביטול הקצאה שסוכלה תכליתה, והשבתו לתפקיד ולשעות שמילא שנתיים היא הצעד המתון ביותר האפשרי בנסיבות.</w:t>
      </w:r>
    </w:p>
    <w:p>
      <w:pPr>
        <w:bidi/>
        <w:spacing w:after="160" w:before="240" w:line="360"/>
        <w:jc w:val="right"/>
      </w:pPr>
      <w:r>
        <w:rPr>
          <w:rFonts w:ascii="David" w:cs="David" w:eastAsia="David" w:hAnsi="David"/>
          <w:b/>
          <w:bCs/>
          <w:sz w:val="26"/>
          <w:szCs w:val="26"/>
          <w:rtl/>
        </w:rPr>
        <w:t xml:space="preserve">ב. טענות הצדדים בנוגע לאופניים</w:t>
      </w:r>
    </w:p>
    <w:p>
      <w:pPr>
        <w:bidi/>
        <w:spacing w:after="120" w:line="360"/>
        <w:jc w:val="both"/>
      </w:pPr>
      <w:r>
        <w:rPr>
          <w:rFonts w:ascii="David" w:cs="David" w:eastAsia="David" w:hAnsi="David"/>
          <w:b/>
          <w:bCs/>
          <w:sz w:val="24"/>
          <w:szCs w:val="24"/>
          <w:rtl/>
        </w:rPr>
        <w:t xml:space="preserve">עמדת ג'ון: </w:t>
      </w:r>
      <w:r>
        <w:rPr>
          <w:rFonts w:ascii="David" w:cs="David" w:eastAsia="David" w:hAnsi="David"/>
          <w:b w:val="false"/>
          <w:bCs w:val="false"/>
          <w:sz w:val="24"/>
          <w:szCs w:val="24"/>
          <w:rtl/>
        </w:rPr>
        <w:t xml:space="preserve">האופניים הוענקו לו כמתנה גמורה, ומשנמסרה מתנה אין הנותן רשאי לחזור בו ממנה לפי חוק המתנה, התשכ"ח-1968. אף אם ייקבע שההטבה קשורה לעבודה, היא הפכה חלק מתנאי העסקתו ואין ליטול אותה חד-צדדית, ודאי לא לאחר שמכר את רכבו בהסתמך עליה ונותר בלא אמצעי תחבורה. עוד יטען לפגיעה בפרטיות: מכשיר המעקב הותקן כאמצעי נגד גניבות, והמנהל השתמש בנתוניו כדי לבחון כיצד הוא מבלה את שעותיו הפרטיות. לפי הלכת איסקוב (ע"ע (ארצי) 90/08), שימוש כזה מפר את עקרונות צמידות המטרה, המידתיות והשקיפות, ועולה כדי פגיעה שלא כדין לפי חוק הגנת הפרטיות, התשמ"א-1981.</w:t>
      </w:r>
    </w:p>
    <w:p>
      <w:pPr>
        <w:bidi/>
        <w:spacing w:after="120" w:line="360"/>
        <w:jc w:val="both"/>
      </w:pPr>
      <w:r>
        <w:rPr>
          <w:rFonts w:ascii="David" w:cs="David" w:eastAsia="David" w:hAnsi="David"/>
          <w:b/>
          <w:bCs/>
          <w:sz w:val="24"/>
          <w:szCs w:val="24"/>
          <w:rtl/>
        </w:rPr>
        <w:t xml:space="preserve">עמדת המנהל: </w:t>
      </w:r>
      <w:r>
        <w:rPr>
          <w:rFonts w:ascii="David" w:cs="David" w:eastAsia="David" w:hAnsi="David"/>
          <w:b w:val="false"/>
          <w:bCs w:val="false"/>
          <w:sz w:val="24"/>
          <w:szCs w:val="24"/>
          <w:rtl/>
        </w:rPr>
        <w:t xml:space="preserve">האופניים לא ניתנו בחלל ריק: הם נרכשו מתקציב בית הספר כתמריץ למעבר להוראת ערב, ומשחדל ג'ון ללמד בערב נשמט היסוד שעליו ניתנה ההטבה. מתנה שניתנה על תנאי מתבטלת עם התנאי. אשר לנתוני המעקב, המכשיר היה גלוי וידוע, הותקן להגנה על רכוש שנרכש בכספי ציבור, והבדיקה הייתה נקודתית וחד-פעמית, רק לאחר שג'ון עצמו התלונן שוב ושוב שהוא עייף מכדי לעבוד. בירור עובדתי מצומצם, שנועד להבין מדוע עובד אינו מתפקד, הוא שימוש לגיטימי ומידתי, והוא שחשף עבודה נוספת הפוגעת בעבודתו.</w:t>
      </w:r>
    </w:p>
    <w:p>
      <w:pPr>
        <w:bidi/>
        <w:spacing w:after="160" w:before="240" w:line="360"/>
        <w:jc w:val="right"/>
      </w:pPr>
      <w:r>
        <w:rPr>
          <w:rFonts w:ascii="David" w:cs="David" w:eastAsia="David" w:hAnsi="David"/>
          <w:b/>
          <w:bCs/>
          <w:sz w:val="26"/>
          <w:szCs w:val="26"/>
          <w:rtl/>
        </w:rPr>
        <w:t xml:space="preserve">ג. טענות הצדדים בנוגע להתפטרות</w:t>
      </w:r>
    </w:p>
    <w:p>
      <w:pPr>
        <w:bidi/>
        <w:spacing w:after="120" w:line="360"/>
        <w:jc w:val="both"/>
      </w:pPr>
      <w:r>
        <w:rPr>
          <w:rFonts w:ascii="David" w:cs="David" w:eastAsia="David" w:hAnsi="David"/>
          <w:b/>
          <w:bCs/>
          <w:sz w:val="24"/>
          <w:szCs w:val="24"/>
          <w:rtl/>
        </w:rPr>
        <w:t xml:space="preserve">עמדת ג'ון: </w:t>
      </w:r>
      <w:r>
        <w:rPr>
          <w:rFonts w:ascii="David" w:cs="David" w:eastAsia="David" w:hAnsi="David"/>
          <w:b w:val="false"/>
          <w:bCs w:val="false"/>
          <w:sz w:val="24"/>
          <w:szCs w:val="24"/>
          <w:rtl/>
        </w:rPr>
        <w:t xml:space="preserve">הוא לא עזב מרצון חופשי אלא נדחק החוצה: בתוך יום אחד שונו שעות עבודתו ונשללה ממנו הטבה שעליה הסתמך. אלו הרעה מוחשית בתנאי העבודה ונסיבות שבהן אין לדרוש מעובד להמשיך, ולכן התפטרותו היא התפטרות בדין מפוטר לפי סעיף 11(א) לחוק פיצויי פיטורים, התשכ"ג-1963, המזכה בפיצויי פיטורים מלאים.</w:t>
      </w:r>
    </w:p>
    <w:p>
      <w:pPr>
        <w:bidi/>
        <w:spacing w:after="120" w:line="360"/>
        <w:jc w:val="both"/>
      </w:pPr>
      <w:r>
        <w:rPr>
          <w:rFonts w:ascii="David" w:cs="David" w:eastAsia="David" w:hAnsi="David"/>
          <w:b/>
          <w:bCs/>
          <w:sz w:val="24"/>
          <w:szCs w:val="24"/>
          <w:rtl/>
        </w:rPr>
        <w:t xml:space="preserve">עמדת המנהל: </w:t>
      </w:r>
      <w:r>
        <w:rPr>
          <w:rFonts w:ascii="David" w:cs="David" w:eastAsia="David" w:hAnsi="David"/>
          <w:b w:val="false"/>
          <w:bCs w:val="false"/>
          <w:sz w:val="24"/>
          <w:szCs w:val="24"/>
          <w:rtl/>
        </w:rPr>
        <w:t xml:space="preserve">התפטרות בדין מפוטר מותנית לפי הפסיקה בכך שהעובד יתריע על ההרעה וייתן למעסיק הזדמנות אמיתית לתקנה, וג'ון לא עשה דבר מזה אלא הודיע על עזיבה בו במקום. אין גם הרעה מוחשית: תנאיו הושבו למתכונת שבה עבד שנתיים תמימות בלא תלונה. התפטרות פתאומית ללא הודעה מוקדמת אף מזכה את בית הספר בתמורת הודעה מוקדמת לפי חוק הודעה מוקדמת לפיטורים ולהתפטרות, התשס"א-2001.</w:t>
      </w:r>
    </w:p>
    <w:p>
      <w:r>
        <w:br w:type="page"/>
      </w:r>
    </w:p>
    <w:p>
      <w:pPr>
        <w:bidi/>
        <w:spacing w:after="160" w:before="0" w:line="360"/>
        <w:jc w:val="right"/>
      </w:pPr>
      <w:r>
        <w:rPr>
          <w:rFonts w:ascii="David" w:cs="David" w:eastAsia="David" w:hAnsi="David"/>
          <w:b/>
          <w:bCs/>
          <w:sz w:val="28"/>
          <w:szCs w:val="28"/>
          <w:u w:val="single"/>
          <w:rtl/>
        </w:rPr>
        <w:t xml:space="preserve">אירוע 3: ורד ושירותי אבטחת המידע</w:t>
      </w:r>
    </w:p>
    <w:p>
      <w:pPr>
        <w:bidi/>
        <w:spacing w:after="160" w:before="240" w:line="360"/>
        <w:jc w:val="right"/>
      </w:pPr>
      <w:r>
        <w:rPr>
          <w:rFonts w:ascii="David" w:cs="David" w:eastAsia="David" w:hAnsi="David"/>
          <w:b/>
          <w:bCs/>
          <w:sz w:val="26"/>
          <w:szCs w:val="26"/>
          <w:rtl/>
        </w:rPr>
        <w:t xml:space="preserve">א. טענות ורד כנגד החלטת החברה וטענות החברה</w:t>
      </w:r>
    </w:p>
    <w:p>
      <w:pPr>
        <w:bidi/>
        <w:spacing w:after="120" w:line="360"/>
        <w:jc w:val="both"/>
      </w:pPr>
      <w:r>
        <w:rPr>
          <w:rFonts w:ascii="David" w:cs="David" w:eastAsia="David" w:hAnsi="David"/>
          <w:b/>
          <w:bCs/>
          <w:sz w:val="24"/>
          <w:szCs w:val="24"/>
          <w:rtl/>
        </w:rPr>
        <w:t xml:space="preserve">עמדת ורד: </w:t>
      </w:r>
      <w:r>
        <w:rPr>
          <w:rFonts w:ascii="David" w:cs="David" w:eastAsia="David" w:hAnsi="David"/>
          <w:b w:val="false"/>
          <w:bCs w:val="false"/>
          <w:sz w:val="24"/>
          <w:szCs w:val="24"/>
          <w:rtl/>
        </w:rPr>
        <w:t xml:space="preserve">השאלה אם אדם הוא עובד אינה מוכרעת לפי הכינוי שבחרו הצדדים או לפי אופן התשלום, אלא לפי מהות היחסים, שכן מעמד העובד הוא סטטוס שאין מתנים עליו. יישום המבחן המעורב, שמבחן ההשתלבות עומד במרכזו (ע"ע 300256/98 אייזק נ' תה"ל; ע"ע 300274/96 צדקא נ' גלי צה"ל), מוביל למסקנה שהתקיימו יחסי עבודה: היא עבדה בחצרי החברה, בחדר ייעודי ובמחשביה, ביום קבוע ובהיקף קבוע של עשר שעות, ברציפות עשר שנים; החברה עמדה על שירות אישי שלה דווקא ושללה מחליף; והתמורה המוסכמת כללה רכיבי נסיעות וחופשה, רכיבים המאפיינים שכר של עובד. בפן השלילי, מול החברה לא פעלה כעסק: לא נשאה בסיכון, לא העסיקה אחרים ולא סיפקה ציוד. קיומם של לקוחות נוספים אינו שולל מעמד עובד אצל כל מעסיק בנפרד. מכאן שההודעה על ניתוק מיידי היא פיטורים שלא כדין, בלא שימוע, בלא הודעה מוקדמת, בלא פיצויי פיטורים ובלא ששולמו לה מעולם זכויות סוציאליות.</w:t>
      </w:r>
    </w:p>
    <w:p>
      <w:pPr>
        <w:bidi/>
        <w:spacing w:after="120" w:line="360"/>
        <w:jc w:val="both"/>
      </w:pPr>
      <w:r>
        <w:rPr>
          <w:rFonts w:ascii="David" w:cs="David" w:eastAsia="David" w:hAnsi="David"/>
          <w:b/>
          <w:bCs/>
          <w:sz w:val="24"/>
          <w:szCs w:val="24"/>
          <w:rtl/>
        </w:rPr>
        <w:t xml:space="preserve">עמדת החברה: </w:t>
      </w:r>
      <w:r>
        <w:rPr>
          <w:rFonts w:ascii="David" w:cs="David" w:eastAsia="David" w:hAnsi="David"/>
          <w:b w:val="false"/>
          <w:bCs w:val="false"/>
          <w:sz w:val="24"/>
          <w:szCs w:val="24"/>
          <w:rtl/>
        </w:rPr>
        <w:t xml:space="preserve">ורד היא נותנת שירותים עצמאית על פי בחירתה: כך הציגה את עצמה עשור שלם, כך דיווחה לרשויות באמצעות חשבוניות, וכך התנהלה כשמכרה שירותים לחמישה עסקים שונים וניהלה משא ומתן על מחיריה, עד כדי איום בהפסקת השירות. התמורה שקיבלה, 100 ש"ח לשעה שסוכם במפורש כי הם כוללים נסיעות וימי חופשה, כפולה ויותר מעלות שכירה מקבילה, והיא נהנתה לאורך השנים מיתרונות המס והחופש של המעמד העצמאי. טענת "עובדת בדיעבד" המועלית רק עם סיום הקשר היא חסרת תום לב, ולכל הפחות מחייבת קיזוז: חישוב הזכויות לפי שכר חלופי של שכירה והשבת התמורה העודפת, כעולה מעניין רופא (ע"ע 110/10 רופא נ' מרקם). ובלא הכרה ביחסי עבודה, עומדת לחברה החירות לסיים חוזה מסחרי בהודעה סבירה.</w:t>
      </w:r>
    </w:p>
    <w:p>
      <w:pPr>
        <w:bidi/>
        <w:spacing w:after="160" w:before="240" w:line="360"/>
        <w:jc w:val="right"/>
      </w:pPr>
      <w:r>
        <w:rPr>
          <w:rFonts w:ascii="David" w:cs="David" w:eastAsia="David" w:hAnsi="David"/>
          <w:b/>
          <w:bCs/>
          <w:sz w:val="26"/>
          <w:szCs w:val="26"/>
          <w:rtl/>
        </w:rPr>
        <w:t xml:space="preserve">ב. בהנחה שוורד צודקת, כיצד היה על החברה לנהוג</w:t>
      </w:r>
    </w:p>
    <w:p>
      <w:pPr>
        <w:bidi/>
        <w:spacing w:after="120" w:line="360"/>
        <w:jc w:val="both"/>
      </w:pPr>
      <w:r>
        <w:rPr>
          <w:rFonts w:ascii="David" w:cs="David" w:eastAsia="David" w:hAnsi="David"/>
          <w:b w:val="false"/>
          <w:bCs w:val="false"/>
          <w:sz w:val="24"/>
          <w:szCs w:val="24"/>
          <w:rtl/>
        </w:rPr>
        <w:t xml:space="preserve">הכרה בוורד כעובדת מכתיבה מסלול סיום שונה לחלוטין מזה שנקטה החברה. ראשית, שימוע: הזמנה מראש ובכתב, פירוט הנימוקים, עלות ההתקשרות וקיומה של חלופה מקומית זולה, ושקילה כנה של טענותיה, ובכלל זה חלופות כגון התאמת התמורה, בטרם תיפול החלטה. שנית, הודעה מוקדמת בכתב לפי חוק הודעה מוקדמת לפיטורים ולהתפטרות, התשס"א-2001, בת חודש ימים לאור הוותק, או תשלום תמורתה, ולא ניתוק "באופן מיידי". שלישית, תשלום פיצויי פיטורים לפי חוק פיצויי פיטורים, התשכ"ג-1963, על יסוד השכר הקובע שייגזר מתמורתה ומוותק של עשר שנים. רביעית, השלמת זכויות העבר: הפרשות פנסיוניות מכוח צו ההרחבה לביטוח פנסיוני מקיף במשק, פדיון חופשה שנתית לפי חוק חופשה שנתית, התשי"א-1951, ודמי הבראה. חילופי המנהל אינם רלוונטיים לחבות, שכן המעסיקה היא החברה, וחובות תום הלב וההגינות מלוות את יחסי העבודה עד יומם האחרון.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5ce4fdf76b58d4cf0096412ef177958ae578a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2026-08-27T08:13:59.084Z</dcterms:created>
  <dcterms:modified xsi:type="dcterms:W3CDTF">2026-08-27T08:13:59.084Z</dcterms:modified>
</cp:coreProperties>
</file>

<file path=docProps/custom.xml><?xml version="1.0" encoding="utf-8"?>
<Properties xmlns="http://schemas.openxmlformats.org/officeDocument/2006/custom-properties" xmlns:vt="http://schemas.openxmlformats.org/officeDocument/2006/docPropsVTypes"/>
</file>