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400" w:line="360" w:lineRule="auto"/>
        <w:jc w:val="center"/>
      </w:pPr>
      <w:r>
        <w:rPr>
          <w:rFonts w:ascii="David" w:cs="David" w:hAnsi="David"/>
          <w:b/>
          <w:bCs/>
          <w:i w:val="false"/>
          <w:iCs w:val="false"/>
          <w:sz w:val="32"/>
          <w:szCs w:val="32"/>
          <w:rtl/>
        </w:rPr>
        <w:t xml:space="preserve">הקריה האקדמית אונו</w:t>
      </w:r>
    </w:p>
    <w:p>
      <w:pPr>
        <w:bidi/>
        <w:spacing w:after="120" w:before="0" w:line="360" w:lineRule="auto"/>
        <w:jc w:val="center"/>
      </w:pPr>
      <w:r>
        <w:rPr>
          <w:rFonts w:ascii="David" w:cs="David" w:hAnsi="David"/>
          <w:b w:val="false"/>
          <w:bCs w:val="false"/>
          <w:i w:val="false"/>
          <w:iCs w:val="false"/>
          <w:sz w:val="28"/>
          <w:szCs w:val="28"/>
          <w:rtl/>
        </w:rPr>
        <w:t xml:space="preserve">תואר שני בחינוך</w:t>
      </w:r>
    </w:p>
    <w:p>
      <w:pPr>
        <w:bidi/>
        <w:spacing w:after="600" w:before="0" w:line="360" w:lineRule="auto"/>
        <w:jc w:val="center"/>
      </w:pPr>
      <w:r>
        <w:rPr>
          <w:rFonts w:ascii="David" w:cs="David" w:hAnsi="David"/>
          <w:b w:val="false"/>
          <w:bCs w:val="false"/>
          <w:i w:val="false"/>
          <w:iCs w:val="false"/>
          <w:sz w:val="28"/>
          <w:szCs w:val="28"/>
          <w:rtl/>
        </w:rPr>
        <w:t xml:space="preserve">התמחות טכנולוגיות למידה ו-</w:t>
      </w:r>
      <w:r>
        <w:rPr>
          <w:rFonts w:ascii="Times New Roman" w:cs="Times New Roman" w:hAnsi="Times New Roman"/>
          <w:b w:val="false"/>
          <w:bCs w:val="false"/>
          <w:i w:val="false"/>
          <w:iCs w:val="false"/>
          <w:sz w:val="28"/>
          <w:szCs w:val="28"/>
          <w:rtl w:val="false"/>
        </w:rPr>
        <w:t xml:space="preserve">AI</w:t>
      </w:r>
    </w:p>
    <w:p>
      <w:pPr>
        <w:bidi/>
        <w:spacing w:after="400" w:before="0" w:line="360" w:lineRule="auto"/>
        <w:jc w:val="center"/>
      </w:pPr>
      <w:r>
        <w:rPr>
          <w:rFonts w:ascii="David" w:cs="David" w:hAnsi="David"/>
          <w:b/>
          <w:bCs/>
          <w:i w:val="false"/>
          <w:iCs w:val="false"/>
          <w:sz w:val="28"/>
          <w:szCs w:val="28"/>
          <w:rtl/>
        </w:rPr>
        <w:t xml:space="preserve">עבודת סמינריון: סקירת ספרות</w:t>
      </w:r>
    </w:p>
    <w:p>
      <w:pPr>
        <w:bidi/>
        <w:spacing w:after="600" w:before="0" w:line="360" w:lineRule="auto"/>
        <w:jc w:val="center"/>
      </w:pPr>
      <w:r>
        <w:rPr>
          <w:rFonts w:ascii="David" w:cs="David" w:hAnsi="David"/>
          <w:b/>
          <w:bCs/>
          <w:i w:val="false"/>
          <w:iCs w:val="false"/>
          <w:sz w:val="30"/>
          <w:szCs w:val="30"/>
          <w:rtl/>
        </w:rPr>
        <w:t xml:space="preserve">תפיסות ועמדות של מורי אנגלית כשפה זרה (</w:t>
      </w:r>
      <w:r>
        <w:rPr>
          <w:rFonts w:ascii="Times New Roman" w:cs="Times New Roman" w:hAnsi="Times New Roman"/>
          <w:b/>
          <w:bCs/>
          <w:i w:val="false"/>
          <w:iCs w:val="false"/>
          <w:sz w:val="30"/>
          <w:szCs w:val="30"/>
          <w:rtl w:val="false"/>
        </w:rPr>
        <w:t xml:space="preserve">EFL) </w:t>
      </w:r>
      <w:r>
        <w:rPr>
          <w:rFonts w:ascii="David" w:cs="David" w:hAnsi="David"/>
          <w:b/>
          <w:bCs/>
          <w:i w:val="false"/>
          <w:iCs w:val="false"/>
          <w:sz w:val="30"/>
          <w:szCs w:val="30"/>
          <w:rtl/>
        </w:rPr>
        <w:t xml:space="preserve">בבית הספר היסודי בישראל כלפי שילוב כלי בינה מלאכותית יוצרת בהוראת האנגלית</w:t>
      </w:r>
    </w:p>
    <w:p>
      <w:pPr>
        <w:bidi/>
        <w:spacing w:after="120" w:before="0" w:line="360" w:lineRule="auto"/>
        <w:jc w:val="center"/>
      </w:pPr>
      <w:r>
        <w:rPr>
          <w:rFonts w:ascii="David" w:cs="David" w:hAnsi="David"/>
          <w:b w:val="false"/>
          <w:bCs w:val="false"/>
          <w:i w:val="false"/>
          <w:iCs w:val="false"/>
          <w:sz w:val="24"/>
          <w:szCs w:val="24"/>
          <w:rtl/>
        </w:rPr>
        <w:t xml:space="preserve">שם הקורס: סמינר</w:t>
      </w:r>
    </w:p>
    <w:p>
      <w:pPr>
        <w:bidi/>
        <w:spacing w:after="120" w:before="0" w:line="360" w:lineRule="auto"/>
        <w:jc w:val="center"/>
      </w:pPr>
      <w:r>
        <w:rPr>
          <w:rFonts w:ascii="David" w:cs="David" w:hAnsi="David"/>
          <w:b w:val="false"/>
          <w:bCs w:val="false"/>
          <w:i w:val="false"/>
          <w:iCs w:val="false"/>
          <w:sz w:val="24"/>
          <w:szCs w:val="24"/>
          <w:rtl/>
        </w:rPr>
        <w:t xml:space="preserve">מגישה: ג'סיקה אבו קארם</w:t>
      </w:r>
    </w:p>
    <w:p>
      <w:pPr>
        <w:bidi/>
        <w:spacing w:after="120" w:before="0" w:line="360" w:lineRule="auto"/>
        <w:jc w:val="center"/>
      </w:pPr>
      <w:r>
        <w:rPr>
          <w:rFonts w:ascii="David" w:cs="David" w:hAnsi="David"/>
          <w:b w:val="false"/>
          <w:bCs w:val="false"/>
          <w:i w:val="false"/>
          <w:iCs w:val="false"/>
          <w:sz w:val="24"/>
          <w:szCs w:val="24"/>
          <w:rtl/>
        </w:rPr>
        <w:t xml:space="preserve">ת"ז: 321516262</w:t>
      </w:r>
    </w:p>
    <w:p>
      <w:pPr>
        <w:bidi/>
        <w:spacing w:after="120" w:before="0" w:line="360" w:lineRule="auto"/>
        <w:jc w:val="center"/>
      </w:pPr>
      <w:r>
        <w:rPr>
          <w:rFonts w:ascii="David" w:cs="David" w:hAnsi="David"/>
          <w:b w:val="false"/>
          <w:bCs w:val="false"/>
          <w:i w:val="false"/>
          <w:iCs w:val="false"/>
          <w:sz w:val="24"/>
          <w:szCs w:val="24"/>
          <w:rtl/>
        </w:rPr>
        <w:t xml:space="preserve">מנחה: ד"ר גילה לוי עצמון</w:t>
      </w:r>
    </w:p>
    <w:p>
      <w:pPr>
        <w:bidi/>
        <w:spacing w:after="120" w:before="0" w:line="360" w:lineRule="auto"/>
        <w:jc w:val="center"/>
      </w:pPr>
      <w:r>
        <w:rPr>
          <w:rFonts w:ascii="David" w:cs="David" w:hAnsi="David"/>
          <w:b w:val="false"/>
          <w:bCs w:val="false"/>
          <w:i w:val="false"/>
          <w:iCs w:val="false"/>
          <w:sz w:val="24"/>
          <w:szCs w:val="24"/>
          <w:rtl/>
        </w:rPr>
        <w:t xml:space="preserve">תאריך הגשה: אב תשפ"ו, אוגוסט 2026</w:t>
      </w:r>
    </w:p>
    <w:p>
      <w:pPr>
        <w:pageBreakBefore/>
        <w:bidi/>
        <w:spacing w:after="240" w:line="480" w:lineRule="auto"/>
        <w:jc w:val="right"/>
      </w:pPr>
      <w:r>
        <w:rPr>
          <w:rFonts w:ascii="David" w:cs="David" w:hAnsi="David"/>
          <w:b/>
          <w:bCs/>
          <w:i w:val="false"/>
          <w:iCs w:val="false"/>
          <w:sz w:val="28"/>
          <w:szCs w:val="28"/>
          <w:rtl/>
        </w:rPr>
        <w:t xml:space="preserve">סקירת ספרות</w:t>
      </w:r>
    </w:p>
    <w:p>
      <w:pPr>
        <w:bidi/>
        <w:spacing w:after="120" w:line="480" w:lineRule="auto"/>
        <w:jc w:val="right"/>
      </w:pPr>
      <w:r>
        <w:rPr>
          <w:rFonts w:ascii="David" w:cs="David" w:hAnsi="David"/>
          <w:b w:val="false"/>
          <w:bCs w:val="false"/>
          <w:i w:val="false"/>
          <w:iCs w:val="false"/>
          <w:sz w:val="24"/>
          <w:szCs w:val="24"/>
          <w:rtl/>
        </w:rPr>
        <w:t xml:space="preserve">כלי בינה מלאכותית יוצרת, ובראשם יישומים דוגמת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נכנסו בשנים האחרונות אל שגרת העבודה של מורים בישראל ובעולם, ומערכת החינוך נדרשת להחליט כיצד לשלבם בהוראה ובלמידה (דשן ואחרים, 2026; משרד החינוך, 2025). הוראת האנגלית כשפה זרה היא זירה מעניינת במיוחד לבחינת השאלה הזו, משום שמדובר בטכנולוגיה שמייצרת שפה, כלומר בכלי הפועל בליבת התחום הנלמד עצמו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המחקר הנוכחי שואל כיצד תופסים מורי אנגלית בבית הספר היסודי בישראל את שילובם של כלי בינה מלאכותית יוצרת בהוראת האנגלית. סקירת הספרות בנויה מן הרחב אל הצר: היא פותחת בפדגוגיה חדשנית ובשילוב טכנולוגיות בלמידה, ממשיכה אל הבינה המלאכותית בחינוך, אל אוריינות ומוכנות לבינה מלאכותית ואל הוראת האנגלית בבית הספר היסודי, ומסיימת בתפיסות ובעמדות של מורים כלפי שילוב בינה מלאכותית, באתגרי היישום ובנושא הספציפי של המחקר.</w:t>
      </w:r>
    </w:p>
    <w:p>
      <w:pPr>
        <w:pageBreakBefore/>
        <w:bidi/>
        <w:spacing w:after="240" w:line="480" w:lineRule="auto"/>
        <w:jc w:val="right"/>
      </w:pPr>
      <w:r>
        <w:rPr>
          <w:rFonts w:ascii="David" w:cs="David" w:hAnsi="David"/>
          <w:b/>
          <w:bCs/>
          <w:i w:val="false"/>
          <w:iCs w:val="false"/>
          <w:sz w:val="28"/>
          <w:szCs w:val="28"/>
          <w:rtl/>
        </w:rPr>
        <w:t xml:space="preserve">1. פדגוגיה חדשנית</w:t>
      </w:r>
    </w:p>
    <w:p>
      <w:pPr>
        <w:bidi/>
        <w:spacing w:after="180" w:line="480" w:lineRule="auto"/>
        <w:jc w:val="right"/>
      </w:pPr>
      <w:r>
        <w:rPr>
          <w:rFonts w:ascii="David" w:cs="David" w:hAnsi="David"/>
          <w:b/>
          <w:bCs/>
          <w:i w:val="false"/>
          <w:iCs w:val="false"/>
          <w:sz w:val="24"/>
          <w:szCs w:val="24"/>
          <w:rtl/>
        </w:rPr>
        <w:t xml:space="preserve">1.1 הגדרות ועקרונות</w:t>
      </w:r>
    </w:p>
    <w:p>
      <w:pPr>
        <w:bidi/>
        <w:spacing w:after="120" w:line="480" w:lineRule="auto"/>
        <w:jc w:val="right"/>
      </w:pPr>
      <w:r>
        <w:rPr>
          <w:rFonts w:ascii="David" w:cs="David" w:hAnsi="David"/>
          <w:b w:val="false"/>
          <w:bCs w:val="false"/>
          <w:i w:val="false"/>
          <w:iCs w:val="false"/>
          <w:sz w:val="24"/>
          <w:szCs w:val="24"/>
          <w:rtl/>
        </w:rPr>
        <w:t xml:space="preserve">פדגוגיה חדשנית מתוארת בספרות המקצועית כתפיסת חינוך הוליסטית, שבמרכזה שלושה עקרונות: פרט, רציפות והתאמה לתקופה. עקרון הפרט משמעו התאמת הלמידה ליכולותיו ולרצונותיו של הלומד, כך שהלומד מוביל את הלמידה ולוקח עליה אחריות. עקרון הרציפות מתייחס לרציפות של זמן ומקום, לרציפות בין-תחומית ולמעגלי למידה המתרחבים מן הפרט אל הקהילה. עקרון ההתאמה לתקופה נוגע לעדכון מתמיד של התכנים ושל הכלים, מתוך תפיסה הומניסטית השואפת ללמידה איכותית (לוי עצמון, 2024).</w:t>
      </w:r>
    </w:p>
    <w:p>
      <w:pPr>
        <w:bidi/>
        <w:spacing w:after="180" w:line="480" w:lineRule="auto"/>
        <w:jc w:val="right"/>
      </w:pPr>
      <w:r>
        <w:rPr>
          <w:rFonts w:ascii="David" w:cs="David" w:hAnsi="David"/>
          <w:b/>
          <w:bCs/>
          <w:i w:val="false"/>
          <w:iCs w:val="false"/>
          <w:sz w:val="24"/>
          <w:szCs w:val="24"/>
          <w:rtl/>
        </w:rPr>
        <w:t xml:space="preserve">1.2 פדגוגיה מוטת עתיד ומיומנויות המאה ה-21</w:t>
      </w:r>
    </w:p>
    <w:p>
      <w:pPr>
        <w:bidi/>
        <w:spacing w:after="120" w:line="480" w:lineRule="auto"/>
        <w:jc w:val="right"/>
      </w:pPr>
      <w:r>
        <w:rPr>
          <w:rFonts w:ascii="David" w:cs="David" w:hAnsi="David"/>
          <w:b w:val="false"/>
          <w:bCs w:val="false"/>
          <w:i w:val="false"/>
          <w:iCs w:val="false"/>
          <w:sz w:val="24"/>
          <w:szCs w:val="24"/>
          <w:rtl/>
        </w:rPr>
        <w:t xml:space="preserve">הרחבה של אותה תפיסה מוצעת במסגרת הפדגוגיה מוטת העתיד של משרד החינוך. זוהי פדגוגיה הנגזרת מניתוח מגמות חברתיות וטכנולוגיות ומחיזוי התנהלותן, והיא מכוונת להכשיר את הלומד למציאות עתידית משתנה ולהצמיח בוגר משגשג (מורגנשטרן ואחרים, 2020). לצדה התגבש השיח על מיומנויות המאה ה-21, ובו הודגשו כישורי למידה וחדשנות: תקשורתיות, שיתופיות, חשיבה ביקורתית ופתרון בעיות וחשיבה יצירתית. בעשור האחרון נתפסות מיומנויות אלה כחלק ממודל רחב יותר, מצפן הלמידה, המדגיש פיתוח מיומנויות קוגניטיביות, חברתיות, רגשיות ופיזיות לצד עמדות וערכים, כאשר השלומות (</w:t>
      </w:r>
      <w:r>
        <w:rPr>
          <w:rFonts w:ascii="Times New Roman" w:cs="Times New Roman" w:hAnsi="Times New Roman"/>
          <w:b w:val="false"/>
          <w:bCs w:val="false"/>
          <w:i w:val="false"/>
          <w:iCs w:val="false"/>
          <w:sz w:val="24"/>
          <w:szCs w:val="24"/>
          <w:rtl w:val="false"/>
        </w:rPr>
        <w:t xml:space="preserve">well-being) </w:t>
      </w:r>
      <w:r>
        <w:rPr>
          <w:rFonts w:ascii="David" w:cs="David" w:hAnsi="David"/>
          <w:b w:val="false"/>
          <w:bCs w:val="false"/>
          <w:i w:val="false"/>
          <w:iCs w:val="false"/>
          <w:sz w:val="24"/>
          <w:szCs w:val="24"/>
          <w:rtl/>
        </w:rPr>
        <w:t xml:space="preserve">של הלומד היא היעד (</w:t>
      </w:r>
      <w:r>
        <w:rPr>
          <w:rFonts w:ascii="Times New Roman" w:cs="Times New Roman" w:hAnsi="Times New Roman"/>
          <w:b w:val="false"/>
          <w:bCs w:val="false"/>
          <w:i w:val="false"/>
          <w:iCs w:val="false"/>
          <w:sz w:val="24"/>
          <w:szCs w:val="24"/>
          <w:rtl w:val="false"/>
        </w:rPr>
        <w:t xml:space="preserve">OECD, 2019).</w:t>
      </w:r>
    </w:p>
    <w:p>
      <w:pPr>
        <w:bidi/>
        <w:spacing w:after="180" w:line="480" w:lineRule="auto"/>
        <w:jc w:val="right"/>
      </w:pPr>
      <w:r>
        <w:rPr>
          <w:rFonts w:ascii="David" w:cs="David" w:hAnsi="David"/>
          <w:b/>
          <w:bCs/>
          <w:i w:val="false"/>
          <w:iCs w:val="false"/>
          <w:sz w:val="24"/>
          <w:szCs w:val="24"/>
          <w:rtl/>
        </w:rPr>
        <w:t xml:space="preserve">1.3 חדשנות פדגוגית, טכנולוגיה ושינוי תפקידי המורה והלומד</w:t>
      </w:r>
    </w:p>
    <w:p>
      <w:pPr>
        <w:bidi/>
        <w:spacing w:after="120" w:line="480" w:lineRule="auto"/>
        <w:jc w:val="right"/>
      </w:pPr>
      <w:r>
        <w:rPr>
          <w:rFonts w:ascii="David" w:cs="David" w:hAnsi="David"/>
          <w:b w:val="false"/>
          <w:bCs w:val="false"/>
          <w:i w:val="false"/>
          <w:iCs w:val="false"/>
          <w:sz w:val="24"/>
          <w:szCs w:val="24"/>
          <w:rtl/>
        </w:rPr>
        <w:t xml:space="preserve">פרנסקי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טוען שתפקידה של הטכנולוגיה בכיתה הוא לאפשר ללומדים ללמד את עצמם, בהנחיית המורה. לפי גישה זו הטכנולוגיה איננה מטרה אלא מדיום שמאפשר קיומה של פדגוגיה חדשנית: הלומד הופך לפעיל ולאחראי על הבניית הידע שלו, והמורה עובר מתפקיד של מוסר ידע לתפקיד של מנחה ומעצב סביבות למידה (</w:t>
      </w:r>
      <w:r>
        <w:rPr>
          <w:rFonts w:ascii="Times New Roman" w:cs="Times New Roman" w:hAnsi="Times New Roman"/>
          <w:b w:val="false"/>
          <w:bCs w:val="false"/>
          <w:i w:val="false"/>
          <w:iCs w:val="false"/>
          <w:sz w:val="24"/>
          <w:szCs w:val="24"/>
          <w:rtl w:val="false"/>
        </w:rPr>
        <w:t xml:space="preserve">Prensky, 2008). </w:t>
      </w:r>
      <w:r>
        <w:rPr>
          <w:rFonts w:ascii="David" w:cs="David" w:hAnsi="David"/>
          <w:b w:val="false"/>
          <w:bCs w:val="false"/>
          <w:i w:val="false"/>
          <w:iCs w:val="false"/>
          <w:sz w:val="24"/>
          <w:szCs w:val="24"/>
          <w:rtl/>
        </w:rPr>
        <w:t xml:space="preserve">שינוי תפקידים זה הוא הרקע שעליו יש לבחון גם את כניסתה של הבינה המלאכותית היוצרת לכיתה, שכן שאלת חלוקת העבודה בין המורה, הלומד והטכנולוגיה מתחדדת ככל שהטכנולוגיה עצמאית יותר (</w:t>
      </w:r>
      <w:r>
        <w:rPr>
          <w:rFonts w:ascii="Times New Roman" w:cs="Times New Roman" w:hAnsi="Times New Roman"/>
          <w:b w:val="false"/>
          <w:bCs w:val="false"/>
          <w:i w:val="false"/>
          <w:iCs w:val="false"/>
          <w:sz w:val="24"/>
          <w:szCs w:val="24"/>
          <w:rtl w:val="false"/>
        </w:rPr>
        <w:t xml:space="preserve">Gašević et al., 2023).</w:t>
      </w:r>
    </w:p>
    <w:p>
      <w:pPr>
        <w:pageBreakBefore/>
        <w:bidi/>
        <w:spacing w:after="240" w:line="480" w:lineRule="auto"/>
        <w:jc w:val="right"/>
      </w:pPr>
      <w:r>
        <w:rPr>
          <w:rFonts w:ascii="David" w:cs="David" w:hAnsi="David"/>
          <w:b/>
          <w:bCs/>
          <w:i w:val="false"/>
          <w:iCs w:val="false"/>
          <w:sz w:val="28"/>
          <w:szCs w:val="28"/>
          <w:rtl/>
        </w:rPr>
        <w:t xml:space="preserve">2. שילוב טכנולוגיות בלמידה</w:t>
      </w:r>
    </w:p>
    <w:p>
      <w:pPr>
        <w:bidi/>
        <w:spacing w:after="180" w:line="480" w:lineRule="auto"/>
        <w:jc w:val="right"/>
      </w:pPr>
      <w:r>
        <w:rPr>
          <w:rFonts w:ascii="David" w:cs="David" w:hAnsi="David"/>
          <w:b/>
          <w:bCs/>
          <w:i w:val="false"/>
          <w:iCs w:val="false"/>
          <w:sz w:val="24"/>
          <w:szCs w:val="24"/>
          <w:rtl/>
        </w:rPr>
        <w:t xml:space="preserve">2.1 סקירה היסטורית בקצרה</w:t>
      </w:r>
    </w:p>
    <w:p>
      <w:pPr>
        <w:bidi/>
        <w:spacing w:after="120" w:line="480" w:lineRule="auto"/>
        <w:jc w:val="right"/>
      </w:pPr>
      <w:r>
        <w:rPr>
          <w:rFonts w:ascii="David" w:cs="David" w:hAnsi="David"/>
          <w:b w:val="false"/>
          <w:bCs w:val="false"/>
          <w:i w:val="false"/>
          <w:iCs w:val="false"/>
          <w:sz w:val="24"/>
          <w:szCs w:val="24"/>
          <w:rtl/>
        </w:rPr>
        <w:t xml:space="preserve">הניסיונות לשלב טכנולוגיות דיגיטליות בהוראה מלווים את מערכות החינוך מזה עשורים, אך קצב האימוץ בפועל היה לרוב איטי מקצב ההתפתחות הטכנולוגית. נקודת מפנה התרחשה במגפת הקורונה, כאשר המעבר הכפוי להוראה מרחוק חייב את כלל המורים ומכשירי המורים להשתמש בכלים דיגיטליים. מחקר שנערך במכללות להכשרת מורים בישראל מצא שרוב בעלי התפקידים הבכירים תיארו את המגפה כחלון הזדמנויות לצמיחה ולהמצאה מחדש של ההוראה, וששיעור ההשתתפות בהשתלמויות טכנולוגיות הוכפל באותה תקופה, לצד מיעוט שחווה את התקופה כמשבר והתמקד בהישרדות (חיאק ואבידב-אונגר, 2022).</w:t>
      </w:r>
    </w:p>
    <w:p>
      <w:pPr>
        <w:bidi/>
        <w:spacing w:after="180" w:line="480" w:lineRule="auto"/>
        <w:jc w:val="right"/>
      </w:pPr>
      <w:r>
        <w:rPr>
          <w:rFonts w:ascii="David" w:cs="David" w:hAnsi="David"/>
          <w:b/>
          <w:bCs/>
          <w:i w:val="false"/>
          <w:iCs w:val="false"/>
          <w:sz w:val="24"/>
          <w:szCs w:val="24"/>
          <w:rtl/>
        </w:rPr>
        <w:t xml:space="preserve">2.2 עקרונות להטמעה</w:t>
      </w:r>
    </w:p>
    <w:p>
      <w:pPr>
        <w:bidi/>
        <w:spacing w:after="120" w:line="480" w:lineRule="auto"/>
        <w:jc w:val="right"/>
      </w:pPr>
      <w:r>
        <w:rPr>
          <w:rFonts w:ascii="David" w:cs="David" w:hAnsi="David"/>
          <w:b w:val="false"/>
          <w:bCs w:val="false"/>
          <w:i w:val="false"/>
          <w:iCs w:val="false"/>
          <w:sz w:val="24"/>
          <w:szCs w:val="24"/>
          <w:rtl/>
        </w:rPr>
        <w:t xml:space="preserve">אותו מחקר מדגים גם את המתח המבני שבין הטמעה "מלמעלה למטה", ביוזמת ההנהלה והמדיניות, ובין צמיחה "מלמטה למעלה", ביוזמת הסגל. חלק מהמרואיינים תיארו מדיניות מחייבת, אחרים הדגישו את החופש האקדמי ואת היוזמה האישית, והמסקנה שעלתה היא שהטמעה מוצלחת דורשת מפגש רצונות: חזון ניהולי ברור לצד אוטונומיה ודיאלוג פתוח עם הסגל (חיאק ואבידב-אונגר, 2022). עיקרון נוסף העולה מן הספרות הוא שהטכנולוגיה צריכה לשרת את הפדגוגיה ולא להפך, כלומר נקודת המוצא היא הצורך הלימודי, והכלי נבחר בהתאם לו (</w:t>
      </w:r>
      <w:r>
        <w:rPr>
          <w:rFonts w:ascii="Times New Roman" w:cs="Times New Roman" w:hAnsi="Times New Roman"/>
          <w:b w:val="false"/>
          <w:bCs w:val="false"/>
          <w:i w:val="false"/>
          <w:iCs w:val="false"/>
          <w:sz w:val="24"/>
          <w:szCs w:val="24"/>
          <w:rtl w:val="false"/>
        </w:rPr>
        <w:t xml:space="preserve">Prensky, 2008).</w:t>
      </w:r>
    </w:p>
    <w:p>
      <w:pPr>
        <w:bidi/>
        <w:spacing w:after="180" w:line="480" w:lineRule="auto"/>
        <w:jc w:val="right"/>
      </w:pPr>
      <w:r>
        <w:rPr>
          <w:rFonts w:ascii="David" w:cs="David" w:hAnsi="David"/>
          <w:b/>
          <w:bCs/>
          <w:i w:val="false"/>
          <w:iCs w:val="false"/>
          <w:sz w:val="24"/>
          <w:szCs w:val="24"/>
          <w:rtl/>
        </w:rPr>
        <w:t xml:space="preserve">2.3 מודלים להערכת שילוב טכנולוגי: </w:t>
      </w:r>
      <w:r>
        <w:rPr>
          <w:rFonts w:ascii="Times New Roman" w:cs="Times New Roman" w:hAnsi="Times New Roman"/>
          <w:b/>
          <w:bCs/>
          <w:i w:val="false"/>
          <w:iCs w:val="false"/>
          <w:sz w:val="24"/>
          <w:szCs w:val="24"/>
          <w:rtl w:val="false"/>
        </w:rPr>
        <w:t xml:space="preserve">TPACK </w:t>
      </w:r>
      <w:r>
        <w:rPr>
          <w:rFonts w:ascii="David" w:cs="David" w:hAnsi="David"/>
          <w:b/>
          <w:bCs/>
          <w:i w:val="false"/>
          <w:iCs w:val="false"/>
          <w:sz w:val="24"/>
          <w:szCs w:val="24"/>
          <w:rtl/>
        </w:rPr>
        <w:t xml:space="preserve">ו-</w:t>
      </w:r>
      <w:r>
        <w:rPr>
          <w:rFonts w:ascii="Times New Roman" w:cs="Times New Roman" w:hAnsi="Times New Roman"/>
          <w:b/>
          <w:bCs/>
          <w:i w:val="false"/>
          <w:iCs w:val="false"/>
          <w:sz w:val="24"/>
          <w:szCs w:val="24"/>
          <w:rtl w:val="false"/>
        </w:rPr>
        <w:t xml:space="preserve">SAMR</w:t>
      </w:r>
    </w:p>
    <w:p>
      <w:pPr>
        <w:bidi/>
        <w:spacing w:after="120" w:line="480" w:lineRule="auto"/>
        <w:jc w:val="right"/>
      </w:pPr>
      <w:r>
        <w:rPr>
          <w:rFonts w:ascii="David" w:cs="David" w:hAnsi="David"/>
          <w:b w:val="false"/>
          <w:bCs w:val="false"/>
          <w:i w:val="false"/>
          <w:iCs w:val="false"/>
          <w:sz w:val="24"/>
          <w:szCs w:val="24"/>
          <w:rtl/>
        </w:rPr>
        <w:t xml:space="preserve">המסגרת המושגית המקובלת ביותר לתיאור הידע הנדרש למורה המשלב טכנולוגיה היא מודל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המודל מתאר שלושה מרחבי ידע, ידע תוכן, ידע פדגוגי וידע טכנולוגי, ואת החפיפות ביניהם, כאשר במרכז נמצא הידע הטכנולוגי-פדגוגי-תוכני: היכולת לבחור טכנולוגיה, לעצב בעזרתה הוראה ולהתאימה לתוכן הנלמד. מישרה וקוהלר (</w:t>
      </w:r>
      <w:r>
        <w:rPr>
          <w:rFonts w:ascii="Times New Roman" w:cs="Times New Roman" w:hAnsi="Times New Roman"/>
          <w:b w:val="false"/>
          <w:bCs w:val="false"/>
          <w:i w:val="false"/>
          <w:iCs w:val="false"/>
          <w:sz w:val="24"/>
          <w:szCs w:val="24"/>
          <w:rtl w:val="false"/>
        </w:rPr>
        <w:t xml:space="preserve">Mishra &amp; Koehler, 2009) </w:t>
      </w:r>
      <w:r>
        <w:rPr>
          <w:rFonts w:ascii="David" w:cs="David" w:hAnsi="David"/>
          <w:b w:val="false"/>
          <w:bCs w:val="false"/>
          <w:i w:val="false"/>
          <w:iCs w:val="false"/>
          <w:sz w:val="24"/>
          <w:szCs w:val="24"/>
          <w:rtl/>
        </w:rPr>
        <w:t xml:space="preserve">מדגישים שרוב הטכנולוגיות שמורים משתמשים בהן לא פותחו לצרכים חינוכיים, ולכן נדרש מהמורה "מיחזור יצירתי" שלהן, וכן שהמערכת נמצאת בשיווי משקל דינמי: שינוי באחד הרכיבים מחייב התאמה של האחרים.</w:t>
      </w:r>
    </w:p>
    <w:p>
      <w:pPr>
        <w:bidi/>
        <w:spacing w:after="120" w:line="480" w:lineRule="auto"/>
        <w:jc w:val="right"/>
      </w:pPr>
      <w:r>
        <w:rPr>
          <w:rFonts w:ascii="David" w:cs="David" w:hAnsi="David"/>
          <w:b w:val="false"/>
          <w:bCs w:val="false"/>
          <w:i w:val="false"/>
          <w:iCs w:val="false"/>
          <w:sz w:val="24"/>
          <w:szCs w:val="24"/>
          <w:rtl/>
        </w:rPr>
        <w:t xml:space="preserve">בגרסה מעודכנת של המודל שודרג מעגל ההקשר החיצוני למרחב ידע עצמאי, ידע הקשרי (</w:t>
      </w:r>
      <w:r>
        <w:rPr>
          <w:rFonts w:ascii="Times New Roman" w:cs="Times New Roman" w:hAnsi="Times New Roman"/>
          <w:b w:val="false"/>
          <w:bCs w:val="false"/>
          <w:i w:val="false"/>
          <w:iCs w:val="false"/>
          <w:sz w:val="24"/>
          <w:szCs w:val="24"/>
          <w:rtl w:val="false"/>
        </w:rPr>
        <w:t xml:space="preserve">Contextual Knowledge, XK): </w:t>
      </w:r>
      <w:r>
        <w:rPr>
          <w:rFonts w:ascii="David" w:cs="David" w:hAnsi="David"/>
          <w:b w:val="false"/>
          <w:bCs w:val="false"/>
          <w:i w:val="false"/>
          <w:iCs w:val="false"/>
          <w:sz w:val="24"/>
          <w:szCs w:val="24"/>
          <w:rtl/>
        </w:rPr>
        <w:t xml:space="preserve">ידיעת המורה את בית הספר, את המדיניות, את המשאבים ואת התרבות הארגונית שבתוכם הוא פועל. לטענת מישרה (</w:t>
      </w:r>
      <w:r>
        <w:rPr>
          <w:rFonts w:ascii="Times New Roman" w:cs="Times New Roman" w:hAnsi="Times New Roman"/>
          <w:b w:val="false"/>
          <w:bCs w:val="false"/>
          <w:i w:val="false"/>
          <w:iCs w:val="false"/>
          <w:sz w:val="24"/>
          <w:szCs w:val="24"/>
          <w:rtl w:val="false"/>
        </w:rPr>
        <w:t xml:space="preserve">Mishra, 2019), </w:t>
      </w:r>
      <w:r>
        <w:rPr>
          <w:rFonts w:ascii="David" w:cs="David" w:hAnsi="David"/>
          <w:b w:val="false"/>
          <w:bCs w:val="false"/>
          <w:i w:val="false"/>
          <w:iCs w:val="false"/>
          <w:sz w:val="24"/>
          <w:szCs w:val="24"/>
          <w:rtl/>
        </w:rPr>
        <w:t xml:space="preserve">היעדר ידע הקשרי מגביל כל ניסיון לשילוב טכנולוגיה, ומורה בעל ידע הקשרי פועל כ"יזם פנים-ארגוני" המכיר את מנופי ההשפעה בארגונו. מודל משלים, </w:t>
      </w:r>
      <w:r>
        <w:rPr>
          <w:rFonts w:ascii="Times New Roman" w:cs="Times New Roman" w:hAnsi="Times New Roman"/>
          <w:b w:val="false"/>
          <w:bCs w:val="false"/>
          <w:i w:val="false"/>
          <w:iCs w:val="false"/>
          <w:sz w:val="24"/>
          <w:szCs w:val="24"/>
          <w:rtl w:val="false"/>
        </w:rPr>
        <w:t xml:space="preserve">SAMR, </w:t>
      </w:r>
      <w:r>
        <w:rPr>
          <w:rFonts w:ascii="David" w:cs="David" w:hAnsi="David"/>
          <w:b w:val="false"/>
          <w:bCs w:val="false"/>
          <w:i w:val="false"/>
          <w:iCs w:val="false"/>
          <w:sz w:val="24"/>
          <w:szCs w:val="24"/>
          <w:rtl/>
        </w:rPr>
        <w:t xml:space="preserve">מציע סולם לבחינת עומק השילוב, מהחלפה ושיפור של פעולה קיימת ועד שינוי והמצאה מחדש של המשימה הלימודית (</w:t>
      </w:r>
      <w:r>
        <w:rPr>
          <w:rFonts w:ascii="Times New Roman" w:cs="Times New Roman" w:hAnsi="Times New Roman"/>
          <w:b w:val="false"/>
          <w:bCs w:val="false"/>
          <w:i w:val="false"/>
          <w:iCs w:val="false"/>
          <w:sz w:val="24"/>
          <w:szCs w:val="24"/>
          <w:rtl w:val="false"/>
        </w:rPr>
        <w:t xml:space="preserve">Puentedura, 2006). </w:t>
      </w:r>
      <w:r>
        <w:rPr>
          <w:rFonts w:ascii="David" w:cs="David" w:hAnsi="David"/>
          <w:b w:val="false"/>
          <w:bCs w:val="false"/>
          <w:i w:val="false"/>
          <w:iCs w:val="false"/>
          <w:sz w:val="24"/>
          <w:szCs w:val="24"/>
          <w:rtl/>
        </w:rPr>
        <w:t xml:space="preserve">מודלים אלה מתמקדים בידע ובפרקטיקה של המורה; מודלים שעניינם קבלת הטכנולוגיה על ידי המשתמש,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ו-</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יידונו בפרק השישי.</w:t>
      </w:r>
    </w:p>
    <w:p>
      <w:pPr>
        <w:pageBreakBefore/>
        <w:bidi/>
        <w:spacing w:after="240" w:line="480" w:lineRule="auto"/>
        <w:jc w:val="right"/>
      </w:pPr>
      <w:r>
        <w:rPr>
          <w:rFonts w:ascii="David" w:cs="David" w:hAnsi="David"/>
          <w:b/>
          <w:bCs/>
          <w:i w:val="false"/>
          <w:iCs w:val="false"/>
          <w:sz w:val="28"/>
          <w:szCs w:val="28"/>
          <w:rtl/>
        </w:rPr>
        <w:t xml:space="preserve">3. בינה מלאכותית בחינוך</w:t>
      </w:r>
    </w:p>
    <w:p>
      <w:pPr>
        <w:bidi/>
        <w:spacing w:after="180" w:line="480" w:lineRule="auto"/>
        <w:jc w:val="right"/>
      </w:pPr>
      <w:r>
        <w:rPr>
          <w:rFonts w:ascii="David" w:cs="David" w:hAnsi="David"/>
          <w:b/>
          <w:bCs/>
          <w:i w:val="false"/>
          <w:iCs w:val="false"/>
          <w:sz w:val="24"/>
          <w:szCs w:val="24"/>
          <w:rtl/>
        </w:rPr>
        <w:t xml:space="preserve">3.1 עקרונות טכנולוגיים ובינה מלאכותית יוצרת</w:t>
      </w:r>
    </w:p>
    <w:p>
      <w:pPr>
        <w:bidi/>
        <w:spacing w:after="120" w:line="480" w:lineRule="auto"/>
        <w:jc w:val="right"/>
      </w:pPr>
      <w:r>
        <w:rPr>
          <w:rFonts w:ascii="David" w:cs="David" w:hAnsi="David"/>
          <w:b w:val="false"/>
          <w:bCs w:val="false"/>
          <w:i w:val="false"/>
          <w:iCs w:val="false"/>
          <w:sz w:val="24"/>
          <w:szCs w:val="24"/>
          <w:rtl/>
        </w:rPr>
        <w:t xml:space="preserve">בינה מלאכותית היא תוכנת מחשב המדמה תהליכי חשיבה אנושיים לשם ביצוע משימות, והיא נשענת על כריית נתונים בהיקפים גדולים, על זיהוי דפוסים וחיזוי מגמות, על למידת מכונה ועל מידה של אוטונומיה בקבלת החלטות (</w:t>
      </w:r>
      <w:r>
        <w:rPr>
          <w:rFonts w:ascii="Times New Roman" w:cs="Times New Roman" w:hAnsi="Times New Roman"/>
          <w:b w:val="false"/>
          <w:bCs w:val="false"/>
          <w:i w:val="false"/>
          <w:iCs w:val="false"/>
          <w:sz w:val="24"/>
          <w:szCs w:val="24"/>
          <w:rtl w:val="false"/>
        </w:rPr>
        <w:t xml:space="preserve">Holmes &amp; Miao, 2023). </w:t>
      </w:r>
      <w:r>
        <w:rPr>
          <w:rFonts w:ascii="David" w:cs="David" w:hAnsi="David"/>
          <w:b w:val="false"/>
          <w:bCs w:val="false"/>
          <w:i w:val="false"/>
          <w:iCs w:val="false"/>
          <w:sz w:val="24"/>
          <w:szCs w:val="24"/>
          <w:rtl/>
        </w:rPr>
        <w:t xml:space="preserve">בינה מלאכותית יוצרת (</w:t>
      </w:r>
      <w:r>
        <w:rPr>
          <w:rFonts w:ascii="Times New Roman" w:cs="Times New Roman" w:hAnsi="Times New Roman"/>
          <w:b w:val="false"/>
          <w:bCs w:val="false"/>
          <w:i w:val="false"/>
          <w:iCs w:val="false"/>
          <w:sz w:val="24"/>
          <w:szCs w:val="24"/>
          <w:rtl w:val="false"/>
        </w:rPr>
        <w:t xml:space="preserve">Generative AI) </w:t>
      </w:r>
      <w:r>
        <w:rPr>
          <w:rFonts w:ascii="David" w:cs="David" w:hAnsi="David"/>
          <w:b w:val="false"/>
          <w:bCs w:val="false"/>
          <w:i w:val="false"/>
          <w:iCs w:val="false"/>
          <w:sz w:val="24"/>
          <w:szCs w:val="24"/>
          <w:rtl/>
        </w:rPr>
        <w:t xml:space="preserve">היא התפתחות חדשה יחסית: יישומים המייצרים תוכן חדש, טקסט, תמונה, קול או קוד, על בסיס דפוסים סטטיסטיים שנלמדו ממאגרי עתק. 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מדגישים שמודל שפה גדול איננו מנוע חיפוש: הוא אינו שולף טקסט קיים אלא מחולל תשובה חדשה בכל פנייה. לצד שלוש תכונות המאפיינות כל טכנולוגיה דיגיטלית, רב-שימושיות, אטימות ואי-יציבות, הם מציינים שתי תכונות ייחודיות לבינה מלאכותית יוצרת: היא יוצרת, כלומר מפיקה תוצר ייחודי בכל אינטראקציה, והיא חברתית, כלומר בני אדם נוטים להאניש אותה ולתקשר איתה כאילו הייתה זולת ממשי (</w:t>
      </w:r>
      <w:r>
        <w:rPr>
          <w:rFonts w:ascii="Times New Roman" w:cs="Times New Roman" w:hAnsi="Times New Roman"/>
          <w:b w:val="false"/>
          <w:bCs w:val="false"/>
          <w:i w:val="false"/>
          <w:iCs w:val="false"/>
          <w:sz w:val="24"/>
          <w:szCs w:val="24"/>
          <w:rtl w:val="false"/>
        </w:rPr>
        <w:t xml:space="preserve">Mishra et al., 2023).</w:t>
      </w:r>
    </w:p>
    <w:p>
      <w:pPr>
        <w:bidi/>
        <w:spacing w:after="180" w:line="480" w:lineRule="auto"/>
        <w:jc w:val="right"/>
      </w:pPr>
      <w:r>
        <w:rPr>
          <w:rFonts w:ascii="David" w:cs="David" w:hAnsi="David"/>
          <w:b/>
          <w:bCs/>
          <w:i w:val="false"/>
          <w:iCs w:val="false"/>
          <w:sz w:val="24"/>
          <w:szCs w:val="24"/>
          <w:rtl/>
        </w:rPr>
        <w:t xml:space="preserve">3.2 יישומי בינה מלאכותית בהוראה ובלמידה</w:t>
      </w:r>
    </w:p>
    <w:p>
      <w:pPr>
        <w:bidi/>
        <w:spacing w:after="120" w:line="480" w:lineRule="auto"/>
        <w:jc w:val="right"/>
      </w:pPr>
      <w:r>
        <w:rPr>
          <w:rFonts w:ascii="David" w:cs="David" w:hAnsi="David"/>
          <w:b w:val="false"/>
          <w:bCs w:val="false"/>
          <w:i w:val="false"/>
          <w:iCs w:val="false"/>
          <w:sz w:val="24"/>
          <w:szCs w:val="24"/>
          <w:rtl/>
        </w:rPr>
        <w:t xml:space="preserve">סקירה שיטתית של המחקר על בינה מלאכותית בעבודת מורים מיפתה יישומים בשלושה שלבי הוראה: בתכנון, ביצירת חומרי למידה ובהתאמתם לרמות שונות; ביישום, בהוראה מותאמת אישית ובמתן משוב בזמן אמת; ובהערכה, בבדיקה אוטומטית ובזיהוי קשיים של לומדים (</w:t>
      </w:r>
      <w:r>
        <w:rPr>
          <w:rFonts w:ascii="Times New Roman" w:cs="Times New Roman" w:hAnsi="Times New Roman"/>
          <w:b w:val="false"/>
          <w:bCs w:val="false"/>
          <w:i w:val="false"/>
          <w:iCs w:val="false"/>
          <w:sz w:val="24"/>
          <w:szCs w:val="24"/>
          <w:rtl w:val="false"/>
        </w:rPr>
        <w:t xml:space="preserve">Celik et al., 2022). </w:t>
      </w:r>
      <w:r>
        <w:rPr>
          <w:rFonts w:ascii="David" w:cs="David" w:hAnsi="David"/>
          <w:b w:val="false"/>
          <w:bCs w:val="false"/>
          <w:i w:val="false"/>
          <w:iCs w:val="false"/>
          <w:sz w:val="24"/>
          <w:szCs w:val="24"/>
          <w:rtl/>
        </w:rPr>
        <w:t xml:space="preserve">לצד היישומים הממוקדים במורה, מתפתח שיח על "תחום התיאום": חלוקת התפקידים והמשימות בין האדם ובין הבינה המלאכותית בתהלכי למידה וקוגניציה, כך שהטכנולוגיה תתמוך בלמידה ולא תחליף את החשיבה של הלומד (</w:t>
      </w:r>
      <w:r>
        <w:rPr>
          <w:rFonts w:ascii="Times New Roman" w:cs="Times New Roman" w:hAnsi="Times New Roman"/>
          <w:b w:val="false"/>
          <w:bCs w:val="false"/>
          <w:i w:val="false"/>
          <w:iCs w:val="false"/>
          <w:sz w:val="24"/>
          <w:szCs w:val="24"/>
          <w:rtl w:val="false"/>
        </w:rPr>
        <w:t xml:space="preserve">Gašević et al., 2023). </w:t>
      </w:r>
      <w:r>
        <w:rPr>
          <w:rFonts w:ascii="David" w:cs="David" w:hAnsi="David"/>
          <w:b w:val="false"/>
          <w:bCs w:val="false"/>
          <w:i w:val="false"/>
          <w:iCs w:val="false"/>
          <w:sz w:val="24"/>
          <w:szCs w:val="24"/>
          <w:rtl/>
        </w:rPr>
        <w:t xml:space="preserve">גישת אונסק"ו מדגישה בהקשר זה שילוב ממוקד אדם, שבו ההחלטות הפדגוגיות נשארות בידי אנשי החינוך (</w:t>
      </w:r>
      <w:r>
        <w:rPr>
          <w:rFonts w:ascii="Times New Roman" w:cs="Times New Roman" w:hAnsi="Times New Roman"/>
          <w:b w:val="false"/>
          <w:bCs w:val="false"/>
          <w:i w:val="false"/>
          <w:iCs w:val="false"/>
          <w:sz w:val="24"/>
          <w:szCs w:val="24"/>
          <w:rtl w:val="false"/>
        </w:rPr>
        <w:t xml:space="preserve">Holmes &amp; Miao, 2023).</w:t>
      </w:r>
    </w:p>
    <w:p>
      <w:pPr>
        <w:bidi/>
        <w:spacing w:after="180" w:line="480" w:lineRule="auto"/>
        <w:jc w:val="right"/>
      </w:pPr>
      <w:r>
        <w:rPr>
          <w:rFonts w:ascii="David" w:cs="David" w:hAnsi="David"/>
          <w:b/>
          <w:bCs/>
          <w:i w:val="false"/>
          <w:iCs w:val="false"/>
          <w:sz w:val="24"/>
          <w:szCs w:val="24"/>
          <w:rtl/>
        </w:rPr>
        <w:t xml:space="preserve">3.3 יתרונות, אתגרים ורגולציה</w:t>
      </w:r>
    </w:p>
    <w:p>
      <w:pPr>
        <w:bidi/>
        <w:spacing w:after="120" w:line="480" w:lineRule="auto"/>
        <w:jc w:val="right"/>
      </w:pPr>
      <w:r>
        <w:rPr>
          <w:rFonts w:ascii="David" w:cs="David" w:hAnsi="David"/>
          <w:b w:val="false"/>
          <w:bCs w:val="false"/>
          <w:i w:val="false"/>
          <w:iCs w:val="false"/>
          <w:sz w:val="24"/>
          <w:szCs w:val="24"/>
          <w:rtl/>
        </w:rPr>
        <w:t xml:space="preserve">היתרונות המתועדים בספרות כוללים למידה מותאמת אישית, משוב מיידי, הנגשה של תכנים ללומדים מתקשים והפחתת עומס העבודה של המורה (</w:t>
      </w:r>
      <w:r>
        <w:rPr>
          <w:rFonts w:ascii="Times New Roman" w:cs="Times New Roman" w:hAnsi="Times New Roman"/>
          <w:b w:val="false"/>
          <w:bCs w:val="false"/>
          <w:i w:val="false"/>
          <w:iCs w:val="false"/>
          <w:sz w:val="24"/>
          <w:szCs w:val="24"/>
          <w:rtl w:val="false"/>
        </w:rPr>
        <w:t xml:space="preserve">Celik et al., 2022; Mishra et al., 2023). </w:t>
      </w:r>
      <w:r>
        <w:rPr>
          <w:rFonts w:ascii="David" w:cs="David" w:hAnsi="David"/>
          <w:b w:val="false"/>
          <w:bCs w:val="false"/>
          <w:i w:val="false"/>
          <w:iCs w:val="false"/>
          <w:sz w:val="24"/>
          <w:szCs w:val="24"/>
          <w:rtl/>
        </w:rPr>
        <w:t xml:space="preserve">מנגד עולים אתגרים של ממש: פגיעה אפשרית ביושרה האקדמית, מידע שגוי ו"הזיות" של המודלים, הטיות מגדריות ותרבותיות המוטמעות בנתוני האימון, פערי נגישות בין לומדים וסוגיות של זכויות יוצרים (</w:t>
      </w:r>
      <w:r>
        <w:rPr>
          <w:rFonts w:ascii="Times New Roman" w:cs="Times New Roman" w:hAnsi="Times New Roman"/>
          <w:b w:val="false"/>
          <w:bCs w:val="false"/>
          <w:i w:val="false"/>
          <w:iCs w:val="false"/>
          <w:sz w:val="24"/>
          <w:szCs w:val="24"/>
          <w:rtl w:val="false"/>
        </w:rPr>
        <w:t xml:space="preserve">Holmes &amp; Miao, 2023; Mishra et al., 2023). </w:t>
      </w:r>
      <w:r>
        <w:rPr>
          <w:rFonts w:ascii="David" w:cs="David" w:hAnsi="David"/>
          <w:b w:val="false"/>
          <w:bCs w:val="false"/>
          <w:i w:val="false"/>
          <w:iCs w:val="false"/>
          <w:sz w:val="24"/>
          <w:szCs w:val="24"/>
          <w:rtl/>
        </w:rPr>
        <w:t xml:space="preserve">בישראל משרד החינוך מעודד את השילוב אך מסדיר אותו: ההנחיות מגדירות קוד אתי הכולל עקרונות של פרטיות, שוויון ומניעת הטיה, שקיפות, אחריותיות ואמינות, ומחייבות הסכמה מודעת של הורים, שימוש בכלים מאושרים בלבד, התאמת השימוש לגיל והכשרה של מורים ותלמידים (משרד החינוך, 2025).</w:t>
      </w:r>
    </w:p>
    <w:p>
      <w:pPr>
        <w:bidi/>
        <w:spacing w:after="180" w:line="480" w:lineRule="auto"/>
        <w:jc w:val="right"/>
      </w:pPr>
      <w:r>
        <w:rPr>
          <w:rFonts w:ascii="David" w:cs="David" w:hAnsi="David"/>
          <w:b/>
          <w:bCs/>
          <w:i w:val="false"/>
          <w:iCs w:val="false"/>
          <w:sz w:val="24"/>
          <w:szCs w:val="24"/>
          <w:rtl/>
        </w:rPr>
        <w:t xml:space="preserve">3.4 מודל </w:t>
      </w:r>
      <w:r>
        <w:rPr>
          <w:rFonts w:ascii="Times New Roman" w:cs="Times New Roman" w:hAnsi="Times New Roman"/>
          <w:b/>
          <w:bCs/>
          <w:i w:val="false"/>
          <w:iCs w:val="false"/>
          <w:sz w:val="24"/>
          <w:szCs w:val="24"/>
          <w:rtl w:val="false"/>
        </w:rPr>
        <w:t xml:space="preserve">AI-TPACK</w:t>
      </w:r>
    </w:p>
    <w:p>
      <w:pPr>
        <w:bidi/>
        <w:spacing w:after="120" w:line="480" w:lineRule="auto"/>
        <w:jc w:val="right"/>
      </w:pPr>
      <w:r>
        <w:rPr>
          <w:rFonts w:ascii="David" w:cs="David" w:hAnsi="David"/>
          <w:b w:val="false"/>
          <w:bCs w:val="false"/>
          <w:i w:val="false"/>
          <w:iCs w:val="false"/>
          <w:sz w:val="24"/>
          <w:szCs w:val="24"/>
          <w:rtl/>
        </w:rPr>
        <w:t xml:space="preserve">מישרה ואחרים (</w:t>
      </w:r>
      <w:r>
        <w:rPr>
          <w:rFonts w:ascii="Times New Roman" w:cs="Times New Roman" w:hAnsi="Times New Roman"/>
          <w:b w:val="false"/>
          <w:bCs w:val="false"/>
          <w:i w:val="false"/>
          <w:iCs w:val="false"/>
          <w:sz w:val="24"/>
          <w:szCs w:val="24"/>
          <w:rtl w:val="false"/>
        </w:rPr>
        <w:t xml:space="preserve">Mishra et al., 2023) </w:t>
      </w:r>
      <w:r>
        <w:rPr>
          <w:rFonts w:ascii="David" w:cs="David" w:hAnsi="David"/>
          <w:b w:val="false"/>
          <w:bCs w:val="false"/>
          <w:i w:val="false"/>
          <w:iCs w:val="false"/>
          <w:sz w:val="24"/>
          <w:szCs w:val="24"/>
          <w:rtl/>
        </w:rPr>
        <w:t xml:space="preserve">מיישמים את מסגרת </w:t>
      </w:r>
      <w:r>
        <w:rPr>
          <w:rFonts w:ascii="Times New Roman" w:cs="Times New Roman" w:hAnsi="Times New Roman"/>
          <w:b w:val="false"/>
          <w:bCs w:val="false"/>
          <w:i w:val="false"/>
          <w:iCs w:val="false"/>
          <w:sz w:val="24"/>
          <w:szCs w:val="24"/>
          <w:rtl w:val="false"/>
        </w:rPr>
        <w:t xml:space="preserve">TPACK </w:t>
      </w:r>
      <w:r>
        <w:rPr>
          <w:rFonts w:ascii="David" w:cs="David" w:hAnsi="David"/>
          <w:b w:val="false"/>
          <w:bCs w:val="false"/>
          <w:i w:val="false"/>
          <w:iCs w:val="false"/>
          <w:sz w:val="24"/>
          <w:szCs w:val="24"/>
          <w:rtl/>
        </w:rPr>
        <w:t xml:space="preserve">על הבינה המלאכותית היוצרת ושואלים מה על מורים לדעת כדי להשתמש בה ביעילות. בממד הטכנולוגי-פדגוגי, על המורה להעריך אילו שימושים הולמים תהליכי הוראה ולמידה ואילו לא, לעצב מחדש את ההערכה, למשל באמצעות משימות שבהן הלומד מבקר טיוטה שיצר הכלי, ולסייע ללומדים לעמוד בפני הנטייה להאנשה באמצעות חשיבה ביקורתית. בממד ההקשרי, הידע ההקשרי הוא שיכריע בין הצלחה לכישלון של השילוב: דרישות תכנית הלימודים, תרבות בית הספר וחזונו, המשאבים הזמינים וצורכי הלומדים. מסקנתם הפילוסופית היא שהמורים והבינה המלאכותית הם יוצרים-שותפים, ושהגבולות בין האנושי לטכנולוגי הולכים ומיטשטשים (</w:t>
      </w:r>
      <w:r>
        <w:rPr>
          <w:rFonts w:ascii="Times New Roman" w:cs="Times New Roman" w:hAnsi="Times New Roman"/>
          <w:b w:val="false"/>
          <w:bCs w:val="false"/>
          <w:i w:val="false"/>
          <w:iCs w:val="false"/>
          <w:sz w:val="24"/>
          <w:szCs w:val="24"/>
          <w:rtl w:val="false"/>
        </w:rPr>
        <w:t xml:space="preserve">Mishra et al., 2023).</w:t>
      </w:r>
    </w:p>
    <w:p>
      <w:pPr>
        <w:pageBreakBefore/>
        <w:bidi/>
        <w:spacing w:after="240" w:line="480" w:lineRule="auto"/>
        <w:jc w:val="right"/>
      </w:pPr>
      <w:r>
        <w:rPr>
          <w:rFonts w:ascii="David" w:cs="David" w:hAnsi="David"/>
          <w:b/>
          <w:bCs/>
          <w:i w:val="false"/>
          <w:iCs w:val="false"/>
          <w:sz w:val="28"/>
          <w:szCs w:val="28"/>
          <w:rtl/>
        </w:rPr>
        <w:t xml:space="preserve">4. אוריינות בינה מלאכותית ומוכנות לבינה מלאכותית</w:t>
      </w:r>
    </w:p>
    <w:p>
      <w:pPr>
        <w:bidi/>
        <w:spacing w:after="180" w:line="480" w:lineRule="auto"/>
        <w:jc w:val="right"/>
      </w:pPr>
      <w:r>
        <w:rPr>
          <w:rFonts w:ascii="David" w:cs="David" w:hAnsi="David"/>
          <w:b/>
          <w:bCs/>
          <w:i w:val="false"/>
          <w:iCs w:val="false"/>
          <w:sz w:val="24"/>
          <w:szCs w:val="24"/>
          <w:rtl/>
        </w:rPr>
        <w:t xml:space="preserve">4.1 אוריינות בינה מלאכותית: הגדרה ומרכיבים</w:t>
      </w:r>
    </w:p>
    <w:p>
      <w:pPr>
        <w:bidi/>
        <w:spacing w:after="120" w:line="480" w:lineRule="auto"/>
        <w:jc w:val="right"/>
      </w:pPr>
      <w:r>
        <w:rPr>
          <w:rFonts w:ascii="David" w:cs="David" w:hAnsi="David"/>
          <w:b w:val="false"/>
          <w:bCs w:val="false"/>
          <w:i w:val="false"/>
          <w:iCs w:val="false"/>
          <w:sz w:val="24"/>
          <w:szCs w:val="24"/>
          <w:rtl/>
        </w:rPr>
        <w:t xml:space="preserve">אוריינות בינה מלאכותית מוגדרת כמכלול של ידע, כישורים ועמדות המאפשרים לפרט להבין טכנולוגיות בינה מלאכותית, להשתמש בהן ולהעריך אותן באופן מושכל, אתי וביקורתי. בספרות מקובלת חלוקה לארבעה מרכיבים: הבנה מושגית של הטכנולוגיה, שימוש יעיל בה, חשיבה ביקורתית עליה והתנהלות אתית (</w:t>
      </w:r>
      <w:r>
        <w:rPr>
          <w:rFonts w:ascii="Times New Roman" w:cs="Times New Roman" w:hAnsi="Times New Roman"/>
          <w:b w:val="false"/>
          <w:bCs w:val="false"/>
          <w:i w:val="false"/>
          <w:iCs w:val="false"/>
          <w:sz w:val="24"/>
          <w:szCs w:val="24"/>
          <w:rtl w:val="false"/>
        </w:rPr>
        <w:t xml:space="preserve">Ng et al., 2021). </w:t>
      </w:r>
      <w:r>
        <w:rPr>
          <w:rFonts w:ascii="David" w:cs="David" w:hAnsi="David"/>
          <w:b w:val="false"/>
          <w:bCs w:val="false"/>
          <w:i w:val="false"/>
          <w:iCs w:val="false"/>
          <w:sz w:val="24"/>
          <w:szCs w:val="24"/>
          <w:rtl/>
        </w:rPr>
        <w:t xml:space="preserve">ההדגשה איננה על כישורים טכניים בלבד; עיקרה של האוריינות הוא הבנה ביקורתית, אתית וחברתית, והיא נתפסת כיום כאוריינות אזרחית הנחוצה לכלל האוכלוסייה (</w:t>
      </w:r>
      <w:r>
        <w:rPr>
          <w:rFonts w:ascii="Times New Roman" w:cs="Times New Roman" w:hAnsi="Times New Roman"/>
          <w:b w:val="false"/>
          <w:bCs w:val="false"/>
          <w:i w:val="false"/>
          <w:iCs w:val="false"/>
          <w:sz w:val="24"/>
          <w:szCs w:val="24"/>
          <w:rtl w:val="false"/>
        </w:rPr>
        <w:t xml:space="preserve">Ng et al., 2021).</w:t>
      </w:r>
    </w:p>
    <w:p>
      <w:pPr>
        <w:bidi/>
        <w:spacing w:after="180" w:line="480" w:lineRule="auto"/>
        <w:jc w:val="right"/>
      </w:pPr>
      <w:r>
        <w:rPr>
          <w:rFonts w:ascii="David" w:cs="David" w:hAnsi="David"/>
          <w:b/>
          <w:bCs/>
          <w:i w:val="false"/>
          <w:iCs w:val="false"/>
          <w:sz w:val="24"/>
          <w:szCs w:val="24"/>
          <w:rtl/>
        </w:rPr>
        <w:t xml:space="preserve">4.2 מוכנות לבינה מלאכותית: הגדרות וממדים</w:t>
      </w:r>
    </w:p>
    <w:p>
      <w:pPr>
        <w:bidi/>
        <w:spacing w:after="120" w:line="480" w:lineRule="auto"/>
        <w:jc w:val="right"/>
      </w:pPr>
      <w:r>
        <w:rPr>
          <w:rFonts w:ascii="David" w:cs="David" w:hAnsi="David"/>
          <w:b w:val="false"/>
          <w:bCs w:val="false"/>
          <w:i w:val="false"/>
          <w:iCs w:val="false"/>
          <w:sz w:val="24"/>
          <w:szCs w:val="24"/>
          <w:rtl/>
        </w:rPr>
        <w:t xml:space="preserve">מוכנות לבינה מלאכותית היא המידה שבה יחיד, ארגון או מערכת ערוכים לאמץ את הטכנולוגיה ולממש את הפוטנציאל שלה. בהקשר החינוכי מדובר במצב ההיערכות של אנשי חינוך לשילוב בינה מלאכותית בהוראה, הכולל גם גישה חיובית כלפי השילוב. וואנג ואחרים (</w:t>
      </w:r>
      <w:r>
        <w:rPr>
          <w:rFonts w:ascii="Times New Roman" w:cs="Times New Roman" w:hAnsi="Times New Roman"/>
          <w:b w:val="false"/>
          <w:bCs w:val="false"/>
          <w:i w:val="false"/>
          <w:iCs w:val="false"/>
          <w:sz w:val="24"/>
          <w:szCs w:val="24"/>
          <w:rtl w:val="false"/>
        </w:rPr>
        <w:t xml:space="preserve">Wang et al., 2023) </w:t>
      </w:r>
      <w:r>
        <w:rPr>
          <w:rFonts w:ascii="David" w:cs="David" w:hAnsi="David"/>
          <w:b w:val="false"/>
          <w:bCs w:val="false"/>
          <w:i w:val="false"/>
          <w:iCs w:val="false"/>
          <w:sz w:val="24"/>
          <w:szCs w:val="24"/>
          <w:rtl/>
        </w:rPr>
        <w:t xml:space="preserve">ממשיגים את מוכנות המורים בארבעה ממדים: ידע (קוגניציה), יכולת, חזון ואתיקה, ומראים אמפירית שמורים ברמת מוכנות גבוהה מחזיקים בידע ובמיומנויות הנדרשים לחדשנות ונוטים להתנסות בהזדמנויות שהטכנולוגיה מציעה.</w:t>
      </w:r>
    </w:p>
    <w:p>
      <w:pPr>
        <w:bidi/>
        <w:spacing w:after="180" w:line="480" w:lineRule="auto"/>
        <w:jc w:val="right"/>
      </w:pPr>
      <w:r>
        <w:rPr>
          <w:rFonts w:ascii="David" w:cs="David" w:hAnsi="David"/>
          <w:b/>
          <w:bCs/>
          <w:i w:val="false"/>
          <w:iCs w:val="false"/>
          <w:sz w:val="24"/>
          <w:szCs w:val="24"/>
          <w:rtl/>
        </w:rPr>
        <w:t xml:space="preserve">4.3 הקשר בין אוריינות למוכנות ותפקיד המורה</w:t>
      </w:r>
    </w:p>
    <w:p>
      <w:pPr>
        <w:bidi/>
        <w:spacing w:after="120" w:line="480" w:lineRule="auto"/>
        <w:jc w:val="right"/>
      </w:pPr>
      <w:r>
        <w:rPr>
          <w:rFonts w:ascii="David" w:cs="David" w:hAnsi="David"/>
          <w:b w:val="false"/>
          <w:bCs w:val="false"/>
          <w:i w:val="false"/>
          <w:iCs w:val="false"/>
          <w:sz w:val="24"/>
          <w:szCs w:val="24"/>
          <w:rtl/>
        </w:rPr>
        <w:t xml:space="preserve">שני המושגים קרובים אך אינם זהים: המוכנות מתמקדת ביכולתו של המורה להשתמש בטכנולוגיה בפועל ולשלבה בפדגוגיה, ואילו האוריינות נוגעת להבנה רחבה של הטכנולוגיה, של השלכותיה ושל האחריות החברתית הכרוכה בשימוש בה (</w:t>
      </w:r>
      <w:r>
        <w:rPr>
          <w:rFonts w:ascii="Times New Roman" w:cs="Times New Roman" w:hAnsi="Times New Roman"/>
          <w:b w:val="false"/>
          <w:bCs w:val="false"/>
          <w:i w:val="false"/>
          <w:iCs w:val="false"/>
          <w:sz w:val="24"/>
          <w:szCs w:val="24"/>
          <w:rtl w:val="false"/>
        </w:rPr>
        <w:t xml:space="preserve">Ng et al., 2021; Wang et al., 2023). </w:t>
      </w:r>
      <w:r>
        <w:rPr>
          <w:rFonts w:ascii="David" w:cs="David" w:hAnsi="David"/>
          <w:b w:val="false"/>
          <w:bCs w:val="false"/>
          <w:i w:val="false"/>
          <w:iCs w:val="false"/>
          <w:sz w:val="24"/>
          <w:szCs w:val="24"/>
          <w:rtl/>
        </w:rPr>
        <w:t xml:space="preserve">הקשר ביניהם נבחן גם אמפירית: במחקר שנערך בקרב 368 מורים נמצא שאוריינות טכנולוגית כללית מנבאת את המוכנות ללמד בינה מלאכותית, ושתחושת המסוגלות של המורה היא המנבא החזק ביותר של הכוונה לעסוק בכך בכיתה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מכאן שהמורה נדרש להיות בעצמו לומד אורייני, המעדכן את הידע שלו באופן מתמיד, וכי השקעה בפיתוח מקצועי היא תנאי לשילוב מוצלח (</w:t>
      </w:r>
      <w:r>
        <w:rPr>
          <w:rFonts w:ascii="Times New Roman" w:cs="Times New Roman" w:hAnsi="Times New Roman"/>
          <w:b w:val="false"/>
          <w:bCs w:val="false"/>
          <w:i w:val="false"/>
          <w:iCs w:val="false"/>
          <w:sz w:val="24"/>
          <w:szCs w:val="24"/>
          <w:rtl w:val="false"/>
        </w:rPr>
        <w:t xml:space="preserve">Ayanwale et al., 2022; Wang et al., 2023).</w:t>
      </w:r>
    </w:p>
    <w:p>
      <w:pPr>
        <w:pageBreakBefore/>
        <w:bidi/>
        <w:spacing w:after="240" w:line="480" w:lineRule="auto"/>
        <w:jc w:val="right"/>
      </w:pPr>
      <w:r>
        <w:rPr>
          <w:rFonts w:ascii="David" w:cs="David" w:hAnsi="David"/>
          <w:b/>
          <w:bCs/>
          <w:i w:val="false"/>
          <w:iCs w:val="false"/>
          <w:sz w:val="28"/>
          <w:szCs w:val="28"/>
          <w:rtl/>
        </w:rPr>
        <w:t xml:space="preserve">5. הוראת אנגלית כשפה זרה בבית הספר היסודי</w:t>
      </w:r>
    </w:p>
    <w:p>
      <w:pPr>
        <w:bidi/>
        <w:spacing w:after="180" w:line="480" w:lineRule="auto"/>
        <w:jc w:val="right"/>
      </w:pPr>
      <w:r>
        <w:rPr>
          <w:rFonts w:ascii="David" w:cs="David" w:hAnsi="David"/>
          <w:b/>
          <w:bCs/>
          <w:i w:val="false"/>
          <w:iCs w:val="false"/>
          <w:sz w:val="24"/>
          <w:szCs w:val="24"/>
          <w:rtl/>
        </w:rPr>
        <w:t xml:space="preserve">5.1 אנגלית כשפה זרה בישראל</w:t>
      </w:r>
    </w:p>
    <w:p>
      <w:pPr>
        <w:bidi/>
        <w:spacing w:after="120" w:line="480" w:lineRule="auto"/>
        <w:jc w:val="right"/>
      </w:pPr>
      <w:r>
        <w:rPr>
          <w:rFonts w:ascii="David" w:cs="David" w:hAnsi="David"/>
          <w:b w:val="false"/>
          <w:bCs w:val="false"/>
          <w:i w:val="false"/>
          <w:iCs w:val="false"/>
          <w:sz w:val="24"/>
          <w:szCs w:val="24"/>
          <w:rtl/>
        </w:rPr>
        <w:t xml:space="preserve">האנגלית נלמדת בישראל כשפה זרה ראשונה והיא מקצוע חובה מבית הספר היסודי ועד סוף התיכון. תכנית הלימודים הארצית מגדירה את האנגלית כשפה בינלאומית, שרכישתה נועדה לאפשר לבוגרי המערכת תקשורת עם דוברי שפות אחרות, גישה למידע ולהשכלה גבוהה והשתלבות בשוק העבודה. התכנית העדכנית מיישרת קו עם המסגרת האירופית המשותפת לשפות (</w:t>
      </w:r>
      <w:r>
        <w:rPr>
          <w:rFonts w:ascii="Times New Roman" w:cs="Times New Roman" w:hAnsi="Times New Roman"/>
          <w:b w:val="false"/>
          <w:bCs w:val="false"/>
          <w:i w:val="false"/>
          <w:iCs w:val="false"/>
          <w:sz w:val="24"/>
          <w:szCs w:val="24"/>
          <w:rtl w:val="false"/>
        </w:rPr>
        <w:t xml:space="preserve">CEFR) </w:t>
      </w:r>
      <w:r>
        <w:rPr>
          <w:rFonts w:ascii="David" w:cs="David" w:hAnsi="David"/>
          <w:b w:val="false"/>
          <w:bCs w:val="false"/>
          <w:i w:val="false"/>
          <w:iCs w:val="false"/>
          <w:sz w:val="24"/>
          <w:szCs w:val="24"/>
          <w:rtl/>
        </w:rPr>
        <w:t xml:space="preserve">וקובעת רמות בקיאות מדורגות ואבני דרך לכל שלב גיל, החל מבית הספר היסודי (</w:t>
      </w:r>
      <w:r>
        <w:rPr>
          <w:rFonts w:ascii="Times New Roman" w:cs="Times New Roman" w:hAnsi="Times New Roman"/>
          <w:b w:val="false"/>
          <w:bCs w:val="false"/>
          <w:i w:val="false"/>
          <w:iCs w:val="false"/>
          <w:sz w:val="24"/>
          <w:szCs w:val="24"/>
          <w:rtl w:val="false"/>
        </w:rPr>
        <w:t xml:space="preserve">Ministry of Education, 2020).</w:t>
      </w:r>
    </w:p>
    <w:p>
      <w:pPr>
        <w:bidi/>
        <w:spacing w:after="180" w:line="480" w:lineRule="auto"/>
        <w:jc w:val="right"/>
      </w:pPr>
      <w:r>
        <w:rPr>
          <w:rFonts w:ascii="David" w:cs="David" w:hAnsi="David"/>
          <w:b/>
          <w:bCs/>
          <w:i w:val="false"/>
          <w:iCs w:val="false"/>
          <w:sz w:val="24"/>
          <w:szCs w:val="24"/>
          <w:rtl/>
        </w:rPr>
        <w:t xml:space="preserve">5.2 תכנית הלימודים ודרכי ההוראה בבית הספר היסודי</w:t>
      </w:r>
    </w:p>
    <w:p>
      <w:pPr>
        <w:bidi/>
        <w:spacing w:after="120" w:line="480" w:lineRule="auto"/>
        <w:jc w:val="right"/>
      </w:pPr>
      <w:r>
        <w:rPr>
          <w:rFonts w:ascii="David" w:cs="David" w:hAnsi="David"/>
          <w:b w:val="false"/>
          <w:bCs w:val="false"/>
          <w:i w:val="false"/>
          <w:iCs w:val="false"/>
          <w:sz w:val="24"/>
          <w:szCs w:val="24"/>
          <w:rtl/>
        </w:rPr>
        <w:t xml:space="preserve">בשלב היסודי מציבה תכנית הלימודים דגש על הבנת הנשמע והנקרא, על הבעה בעל פה ובכתב ברמה בסיסית ועל בניית אוצר מילים מדורג, מתוך גישה תקשורתית שבה השפה נרכשת דרך שימוש משמעותי בה ולא דרך שינון חוקים בלבד (</w:t>
      </w:r>
      <w:r>
        <w:rPr>
          <w:rFonts w:ascii="Times New Roman" w:cs="Times New Roman" w:hAnsi="Times New Roman"/>
          <w:b w:val="false"/>
          <w:bCs w:val="false"/>
          <w:i w:val="false"/>
          <w:iCs w:val="false"/>
          <w:sz w:val="24"/>
          <w:szCs w:val="24"/>
          <w:rtl w:val="false"/>
        </w:rPr>
        <w:t xml:space="preserve">Ministry of Education, 2020). </w:t>
      </w:r>
      <w:r>
        <w:rPr>
          <w:rFonts w:ascii="David" w:cs="David" w:hAnsi="David"/>
          <w:b w:val="false"/>
          <w:bCs w:val="false"/>
          <w:i w:val="false"/>
          <w:iCs w:val="false"/>
          <w:sz w:val="24"/>
          <w:szCs w:val="24"/>
          <w:rtl/>
        </w:rPr>
        <w:t xml:space="preserve">המורה לאנגלית ביסודי נדרש לתווך שפה זרה ללומדים צעירים שרובם אינם פוגשים אותה מחוץ לכיתה, ולכן איכות החשיפה בשיעור, מגוון התרגול והמשוב שהלומד מקבל משפיעים במיוחד על ההתקדמות (</w:t>
      </w:r>
      <w:r>
        <w:rPr>
          <w:rFonts w:ascii="Times New Roman" w:cs="Times New Roman" w:hAnsi="Times New Roman"/>
          <w:b w:val="false"/>
          <w:bCs w:val="false"/>
          <w:i w:val="false"/>
          <w:iCs w:val="false"/>
          <w:sz w:val="24"/>
          <w:szCs w:val="24"/>
          <w:rtl w:val="false"/>
        </w:rPr>
        <w:t xml:space="preserve">Cameron, 2001).</w:t>
      </w:r>
    </w:p>
    <w:p>
      <w:pPr>
        <w:bidi/>
        <w:spacing w:after="180" w:line="480" w:lineRule="auto"/>
        <w:jc w:val="right"/>
      </w:pPr>
      <w:r>
        <w:rPr>
          <w:rFonts w:ascii="David" w:cs="David" w:hAnsi="David"/>
          <w:b/>
          <w:bCs/>
          <w:i w:val="false"/>
          <w:iCs w:val="false"/>
          <w:sz w:val="24"/>
          <w:szCs w:val="24"/>
          <w:rtl/>
        </w:rPr>
        <w:t xml:space="preserve">5.3 מאפייני רכישת אנגלית כשפה זרה בגיל צעיר</w:t>
      </w:r>
    </w:p>
    <w:p>
      <w:pPr>
        <w:bidi/>
        <w:spacing w:after="120" w:line="480" w:lineRule="auto"/>
        <w:jc w:val="right"/>
      </w:pPr>
      <w:r>
        <w:rPr>
          <w:rFonts w:ascii="David" w:cs="David" w:hAnsi="David"/>
          <w:b w:val="false"/>
          <w:bCs w:val="false"/>
          <w:i w:val="false"/>
          <w:iCs w:val="false"/>
          <w:sz w:val="24"/>
          <w:szCs w:val="24"/>
          <w:rtl/>
        </w:rPr>
        <w:t xml:space="preserve">רכישת שפה זרה נשענת על קלט מובן: הלומד מתקדם כאשר הוא נחשף לשפה ברמה מעט גבוהה מרמתו הנוכחית, ובתנאי שהמסנן הרגשי שלו נמוך, כלומר שהחרדה מועטה והמוטיבציה גבוהה (</w:t>
      </w:r>
      <w:r>
        <w:rPr>
          <w:rFonts w:ascii="Times New Roman" w:cs="Times New Roman" w:hAnsi="Times New Roman"/>
          <w:b w:val="false"/>
          <w:bCs w:val="false"/>
          <w:i w:val="false"/>
          <w:iCs w:val="false"/>
          <w:sz w:val="24"/>
          <w:szCs w:val="24"/>
          <w:rtl w:val="false"/>
        </w:rPr>
        <w:t xml:space="preserve">Krashen, 1982). </w:t>
      </w:r>
      <w:r>
        <w:rPr>
          <w:rFonts w:ascii="David" w:cs="David" w:hAnsi="David"/>
          <w:b w:val="false"/>
          <w:bCs w:val="false"/>
          <w:i w:val="false"/>
          <w:iCs w:val="false"/>
          <w:sz w:val="24"/>
          <w:szCs w:val="24"/>
          <w:rtl/>
        </w:rPr>
        <w:t xml:space="preserve">לומדים צעירים מתאפיינים בלמידה דרך פעילות והתנסות, בהישענות על הערוץ הדבור לפני הכתוב, בטווח קשב קצר ובצורך בהקשרים מוחשיים ומשמעותיים; הוראה אפקטיבית בגילים אלה משלבת משחק, סיפור ושיר ומדגישה הצלחות קטנות ותכופות (</w:t>
      </w:r>
      <w:r>
        <w:rPr>
          <w:rFonts w:ascii="Times New Roman" w:cs="Times New Roman" w:hAnsi="Times New Roman"/>
          <w:b w:val="false"/>
          <w:bCs w:val="false"/>
          <w:i w:val="false"/>
          <w:iCs w:val="false"/>
          <w:sz w:val="24"/>
          <w:szCs w:val="24"/>
          <w:rtl w:val="false"/>
        </w:rPr>
        <w:t xml:space="preserve">Cameron, 2001). </w:t>
      </w:r>
      <w:r>
        <w:rPr>
          <w:rFonts w:ascii="David" w:cs="David" w:hAnsi="David"/>
          <w:b w:val="false"/>
          <w:bCs w:val="false"/>
          <w:i w:val="false"/>
          <w:iCs w:val="false"/>
          <w:sz w:val="24"/>
          <w:szCs w:val="24"/>
          <w:rtl/>
        </w:rPr>
        <w:t xml:space="preserve">מאפיינים אלה מסבירים מדוע כלים המסוגלים לייצר טקסטים מדורגים, דיאלוגים ומשוב מיידי מעוררים עניין רב דווקא בהוראת שפות בגיל הצעיר (</w:t>
      </w:r>
      <w:r>
        <w:rPr>
          <w:rFonts w:ascii="Times New Roman" w:cs="Times New Roman" w:hAnsi="Times New Roman"/>
          <w:b w:val="false"/>
          <w:bCs w:val="false"/>
          <w:i w:val="false"/>
          <w:iCs w:val="false"/>
          <w:sz w:val="24"/>
          <w:szCs w:val="24"/>
          <w:rtl w:val="false"/>
        </w:rPr>
        <w:t xml:space="preserve">Kohnke et al., 2023).</w:t>
      </w:r>
    </w:p>
    <w:p>
      <w:pPr>
        <w:bidi/>
        <w:spacing w:after="180" w:line="480" w:lineRule="auto"/>
        <w:jc w:val="right"/>
      </w:pPr>
      <w:r>
        <w:rPr>
          <w:rFonts w:ascii="David" w:cs="David" w:hAnsi="David"/>
          <w:b/>
          <w:bCs/>
          <w:i w:val="false"/>
          <w:iCs w:val="false"/>
          <w:sz w:val="24"/>
          <w:szCs w:val="24"/>
          <w:rtl/>
        </w:rPr>
        <w:t xml:space="preserve">5.4 פדגוגיות מתקדמות ושילוב טכנולוגיה בהוראת האנגלית</w:t>
      </w:r>
    </w:p>
    <w:p>
      <w:pPr>
        <w:bidi/>
        <w:spacing w:after="120" w:line="480" w:lineRule="auto"/>
        <w:jc w:val="right"/>
      </w:pPr>
      <w:r>
        <w:rPr>
          <w:rFonts w:ascii="David" w:cs="David" w:hAnsi="David"/>
          <w:b w:val="false"/>
          <w:bCs w:val="false"/>
          <w:i w:val="false"/>
          <w:iCs w:val="false"/>
          <w:sz w:val="24"/>
          <w:szCs w:val="24"/>
          <w:rtl/>
        </w:rPr>
        <w:t xml:space="preserve">הוראת השפות אימצה לאורך השנים כלים דיגיטליים רבים, ממילונים מקוונים ואפליקציות תרגול ועד סביבות למידה מתוקשבות, אך הבינה המלאכותית היוצרת מסמנת שינוי מסדר אחר. קונקה ואחרים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מראים כיצד </w:t>
      </w:r>
      <w:r>
        <w:rPr>
          <w:rFonts w:ascii="Times New Roman" w:cs="Times New Roman" w:hAnsi="Times New Roman"/>
          <w:b w:val="false"/>
          <w:bCs w:val="false"/>
          <w:i w:val="false"/>
          <w:iCs w:val="false"/>
          <w:sz w:val="24"/>
          <w:szCs w:val="24"/>
          <w:rtl w:val="false"/>
        </w:rPr>
        <w:t xml:space="preserve">ChatGPT </w:t>
      </w:r>
      <w:r>
        <w:rPr>
          <w:rFonts w:ascii="David" w:cs="David" w:hAnsi="David"/>
          <w:b w:val="false"/>
          <w:bCs w:val="false"/>
          <w:i w:val="false"/>
          <w:iCs w:val="false"/>
          <w:sz w:val="24"/>
          <w:szCs w:val="24"/>
          <w:rtl/>
        </w:rPr>
        <w:t xml:space="preserve">יכול לשמש בן שיח זמין לתרגול, לחולל טקסטים ברמות קושי מותאמות, להסביר אוצר מילים בהקשר, לייצר שאלות הבנה ומבדקים ולסייע למורה בהכנת חומרים מובחנים. לצד זאת הם מדגישים שהשימוש מחייב כשירויות דיגיטליות של המורה ומודעות למגבלות הכלי, ובהן אי-דיוקים עובדתיים והטיות תרבותיות, וכן חשיבה מחודשת על דרכי ההערכה בשיעורי השפה (</w:t>
      </w:r>
      <w:r>
        <w:rPr>
          <w:rFonts w:ascii="Times New Roman" w:cs="Times New Roman" w:hAnsi="Times New Roman"/>
          <w:b w:val="false"/>
          <w:bCs w:val="false"/>
          <w:i w:val="false"/>
          <w:iCs w:val="false"/>
          <w:sz w:val="24"/>
          <w:szCs w:val="24"/>
          <w:rtl w:val="false"/>
        </w:rPr>
        <w:t xml:space="preserve">Kohnke et al., 2023).</w:t>
      </w:r>
    </w:p>
    <w:p>
      <w:pPr>
        <w:pageBreakBefore/>
        <w:bidi/>
        <w:spacing w:after="240" w:line="480" w:lineRule="auto"/>
        <w:jc w:val="right"/>
      </w:pPr>
      <w:r>
        <w:rPr>
          <w:rFonts w:ascii="David" w:cs="David" w:hAnsi="David"/>
          <w:b/>
          <w:bCs/>
          <w:i w:val="false"/>
          <w:iCs w:val="false"/>
          <w:sz w:val="28"/>
          <w:szCs w:val="28"/>
          <w:rtl/>
        </w:rPr>
        <w:t xml:space="preserve">6. תפיסות ועמדות מורים כלפי שילוב בינה מלאכותית</w:t>
      </w:r>
    </w:p>
    <w:p>
      <w:pPr>
        <w:bidi/>
        <w:spacing w:after="180" w:line="480" w:lineRule="auto"/>
        <w:jc w:val="right"/>
      </w:pPr>
      <w:r>
        <w:rPr>
          <w:rFonts w:ascii="David" w:cs="David" w:hAnsi="David"/>
          <w:b/>
          <w:bCs/>
          <w:i w:val="false"/>
          <w:iCs w:val="false"/>
          <w:sz w:val="24"/>
          <w:szCs w:val="24"/>
          <w:rtl/>
        </w:rPr>
        <w:t xml:space="preserve">6.1 תפיסות ועמדות: הגדרות ומרכיבים</w:t>
      </w:r>
    </w:p>
    <w:p>
      <w:pPr>
        <w:bidi/>
        <w:spacing w:after="120" w:line="480" w:lineRule="auto"/>
        <w:jc w:val="right"/>
      </w:pPr>
      <w:r>
        <w:rPr>
          <w:rFonts w:ascii="David" w:cs="David" w:hAnsi="David"/>
          <w:b w:val="false"/>
          <w:bCs w:val="false"/>
          <w:i w:val="false"/>
          <w:iCs w:val="false"/>
          <w:sz w:val="24"/>
          <w:szCs w:val="24"/>
          <w:rtl/>
        </w:rPr>
        <w:t xml:space="preserve">תפיסה (</w:t>
      </w:r>
      <w:r>
        <w:rPr>
          <w:rFonts w:ascii="Times New Roman" w:cs="Times New Roman" w:hAnsi="Times New Roman"/>
          <w:b w:val="false"/>
          <w:bCs w:val="false"/>
          <w:i w:val="false"/>
          <w:iCs w:val="false"/>
          <w:sz w:val="24"/>
          <w:szCs w:val="24"/>
          <w:rtl w:val="false"/>
        </w:rPr>
        <w:t xml:space="preserve">perception) </w:t>
      </w:r>
      <w:r>
        <w:rPr>
          <w:rFonts w:ascii="David" w:cs="David" w:hAnsi="David"/>
          <w:b w:val="false"/>
          <w:bCs w:val="false"/>
          <w:i w:val="false"/>
          <w:iCs w:val="false"/>
          <w:sz w:val="24"/>
          <w:szCs w:val="24"/>
          <w:rtl/>
        </w:rPr>
        <w:t xml:space="preserve">היא התהליך שבו הפרט קולט, מעבד ומפרש מידע על סביבתו, ואילו עמדה (</w:t>
      </w:r>
      <w:r>
        <w:rPr>
          <w:rFonts w:ascii="Times New Roman" w:cs="Times New Roman" w:hAnsi="Times New Roman"/>
          <w:b w:val="false"/>
          <w:bCs w:val="false"/>
          <w:i w:val="false"/>
          <w:iCs w:val="false"/>
          <w:sz w:val="24"/>
          <w:szCs w:val="24"/>
          <w:rtl w:val="false"/>
        </w:rPr>
        <w:t xml:space="preserve">attitude) </w:t>
      </w:r>
      <w:r>
        <w:rPr>
          <w:rFonts w:ascii="David" w:cs="David" w:hAnsi="David"/>
          <w:b w:val="false"/>
          <w:bCs w:val="false"/>
          <w:i w:val="false"/>
          <w:iCs w:val="false"/>
          <w:sz w:val="24"/>
          <w:szCs w:val="24"/>
          <w:rtl/>
        </w:rPr>
        <w:t xml:space="preserve">היא מערכת של אמונות, רגשות ונטיות התנהגותיות כלפי מושא מסוים. לעמדה שלושה מרכיבים: קוגניטיבי, הכולל את דעותיו ואמונותיו של הפרט, רגשי, הנוגע למה שהפרט מרגיש כלפי המושא, והתנהגותי, המבטא את נטייתו לפעול. עמדות הן לרוב יציבות אך ניתנות לשינוי, ועוצמתן משתנה מנושא לנושא (לוי עצמון ורונן, 2026). מחקר תפיסות בוחן כיצד אנשים חווים ומפרשים תופעה, ומחקר עמדות בוחן מה הם חושבים עליה וכיצד בכוונתם לנהוג; שניהם נחקרים בכלים איכותניים, דוגמת ראיונות עומק, ובכלים כמותניים, דוגמת שאלונים (לוי עצמון ורונן, 2026).</w:t>
      </w:r>
    </w:p>
    <w:p>
      <w:pPr>
        <w:bidi/>
        <w:spacing w:after="180" w:line="480" w:lineRule="auto"/>
        <w:jc w:val="right"/>
      </w:pPr>
      <w:r>
        <w:rPr>
          <w:rFonts w:ascii="David" w:cs="David" w:hAnsi="David"/>
          <w:b/>
          <w:bCs/>
          <w:i w:val="false"/>
          <w:iCs w:val="false"/>
          <w:sz w:val="24"/>
          <w:szCs w:val="24"/>
          <w:rtl/>
        </w:rPr>
        <w:t xml:space="preserve">6.2 מודל קבלת הטכנולוגיה </w:t>
      </w:r>
      <w:r>
        <w:rPr>
          <w:rFonts w:ascii="Times New Roman" w:cs="Times New Roman" w:hAnsi="Times New Roman"/>
          <w:b/>
          <w:bCs/>
          <w:i w:val="false"/>
          <w:iCs w:val="false"/>
          <w:sz w:val="24"/>
          <w:szCs w:val="24"/>
          <w:rtl w:val="false"/>
        </w:rPr>
        <w:t xml:space="preserve">TAM</w:t>
      </w:r>
    </w:p>
    <w:p>
      <w:pPr>
        <w:bidi/>
        <w:spacing w:after="120" w:line="480" w:lineRule="auto"/>
        <w:jc w:val="right"/>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של דיוויס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הוא נקודת המוצא של חקר אימוץ טכנולוגיות. לפי המודל, השימוש בטכנולוגיה מושפע מהכוונה להשתמש בה, והכוונה מעוצבת על ידי שתי תפיסות סובייקטיביות: תפיסת השימושיות, כלומר עד כמה האדם מאמין שהטכנולוגיה תשפר את ביצועיו, ותפיסת קלות השימוש, כלומר עד כמה השימוש בה ייתפס כפשוט ונטול מאמץ. ככל שהטכנולוגיה נתפסת שימושית וקלה יותר, גדלה הסבירות שתאומץ, כאשר תפיסת השימושיות נמצאה במחקרים כגורם המשפיע יותר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חוזקו של המודל בפשטותו ובביסוסו האמפירי הרחב, אך הוא פותח עבור טכנולוגיות מידע שגרתיות, ולא עבור טכנולוגיות בעלות מאפיינים אנושיים (</w:t>
      </w:r>
      <w:r>
        <w:rPr>
          <w:rFonts w:ascii="Times New Roman" w:cs="Times New Roman" w:hAnsi="Times New Roman"/>
          <w:b w:val="false"/>
          <w:bCs w:val="false"/>
          <w:i w:val="false"/>
          <w:iCs w:val="false"/>
          <w:sz w:val="24"/>
          <w:szCs w:val="24"/>
          <w:rtl w:val="false"/>
        </w:rPr>
        <w:t xml:space="preserve">Gursoy et al., 2019).</w:t>
      </w:r>
    </w:p>
    <w:p>
      <w:pPr>
        <w:bidi/>
        <w:spacing w:after="180" w:line="480" w:lineRule="auto"/>
        <w:jc w:val="right"/>
      </w:pPr>
      <w:r>
        <w:rPr>
          <w:rFonts w:ascii="David" w:cs="David" w:hAnsi="David"/>
          <w:b/>
          <w:bCs/>
          <w:i w:val="false"/>
          <w:iCs w:val="false"/>
          <w:sz w:val="24"/>
          <w:szCs w:val="24"/>
          <w:rtl/>
        </w:rPr>
        <w:t xml:space="preserve">6.3 מודל </w:t>
      </w:r>
      <w:r>
        <w:rPr>
          <w:rFonts w:ascii="Times New Roman" w:cs="Times New Roman" w:hAnsi="Times New Roman"/>
          <w:b/>
          <w:bCs/>
          <w:i w:val="false"/>
          <w:iCs w:val="false"/>
          <w:sz w:val="24"/>
          <w:szCs w:val="24"/>
          <w:rtl w:val="false"/>
        </w:rPr>
        <w:t xml:space="preserve">AIDUA </w:t>
      </w:r>
      <w:r>
        <w:rPr>
          <w:rFonts w:ascii="David" w:cs="David" w:hAnsi="David"/>
          <w:b/>
          <w:bCs/>
          <w:i w:val="false"/>
          <w:iCs w:val="false"/>
          <w:sz w:val="24"/>
          <w:szCs w:val="24"/>
          <w:rtl/>
        </w:rPr>
        <w:t xml:space="preserve">לאימוץ בינה מלאכותית</w:t>
      </w:r>
    </w:p>
    <w:p>
      <w:pPr>
        <w:bidi/>
        <w:spacing w:after="120" w:line="480" w:lineRule="auto"/>
        <w:jc w:val="right"/>
      </w:pPr>
      <w:r>
        <w:rPr>
          <w:rFonts w:ascii="David" w:cs="David" w:hAnsi="David"/>
          <w:b w:val="false"/>
          <w:bCs w:val="false"/>
          <w:i w:val="false"/>
          <w:iCs w:val="false"/>
          <w:sz w:val="24"/>
          <w:szCs w:val="24"/>
          <w:rtl/>
        </w:rPr>
        <w:t xml:space="preserve">בדיוק על רקע זה פותח מודל </w:t>
      </w:r>
      <w:r>
        <w:rPr>
          <w:rFonts w:ascii="Times New Roman" w:cs="Times New Roman" w:hAnsi="Times New Roman"/>
          <w:b w:val="false"/>
          <w:bCs w:val="false"/>
          <w:i w:val="false"/>
          <w:iCs w:val="false"/>
          <w:sz w:val="24"/>
          <w:szCs w:val="24"/>
          <w:rtl w:val="false"/>
        </w:rPr>
        <w:t xml:space="preserve">AIDUA (Artificially Intelligent Device Use Acceptance), </w:t>
      </w:r>
      <w:r>
        <w:rPr>
          <w:rFonts w:ascii="David" w:cs="David" w:hAnsi="David"/>
          <w:b w:val="false"/>
          <w:bCs w:val="false"/>
          <w:i w:val="false"/>
          <w:iCs w:val="false"/>
          <w:sz w:val="24"/>
          <w:szCs w:val="24"/>
          <w:rtl/>
        </w:rPr>
        <w:t xml:space="preserve">המבקש להסביר קבלה של התקנים מבוססי בינה מלאכותית. גורסוי ואחרים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טוענים שמודלים קלאסיים אינם מספיקים לתיאור אימוץ של טכנולוגיה "חושבת", ומציעים תהליך פסיכולוגי בן שלושה שלבים. בשלב ההערכה הראשונית הפרט בוחן את הרלוונטיות של הטכנולוגיה עבורו לאור שלושה גורמים: השפעה חברתית, מוטיבציה נהנתנית והאנשה, כלומר המידה שבה הכלי נתפס כבעל מאפיינים אנושיים. בשלב ההערכה המשנית נערך חשבון עלות-תועלת דרך ציפייה לביצועים וציפייה למאמץ, המקבילות לתפיסות היסוד של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ייחודו של המודל בשלב השלישי: ההערכות מולידות חוויה רגשית, חיובית או שלילית, והרגש הוא הגורם הישיר שמכריע בין נכונות להשתמש ובין התנגדות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במחקר האימות הוסבר חלק ניכר מהשונות בנכונות השימוש, ונמצא בין השאר שמוטיבציה נהנתנית מנבאת בעוצמה את הציפייה לביצועים, ושהאנשה דווקא מעלה את המאמץ הצפוי (</w:t>
      </w:r>
      <w:r>
        <w:rPr>
          <w:rFonts w:ascii="Times New Roman" w:cs="Times New Roman" w:hAnsi="Times New Roman"/>
          <w:b w:val="false"/>
          <w:bCs w:val="false"/>
          <w:i w:val="false"/>
          <w:iCs w:val="false"/>
          <w:sz w:val="24"/>
          <w:szCs w:val="24"/>
          <w:rtl w:val="false"/>
        </w:rPr>
        <w:t xml:space="preserve">Gursoy et al., 2019).</w:t>
      </w:r>
    </w:p>
    <w:p>
      <w:pPr>
        <w:bidi/>
        <w:spacing w:after="180" w:line="480" w:lineRule="auto"/>
        <w:jc w:val="right"/>
      </w:pPr>
      <w:r>
        <w:rPr>
          <w:rFonts w:ascii="David" w:cs="David" w:hAnsi="David"/>
          <w:b/>
          <w:bCs/>
          <w:i w:val="false"/>
          <w:iCs w:val="false"/>
          <w:sz w:val="24"/>
          <w:szCs w:val="24"/>
          <w:rtl/>
        </w:rPr>
        <w:t xml:space="preserve">6.4 גורמים מקדמים ומעכבים בקרב מורים</w:t>
      </w:r>
    </w:p>
    <w:p>
      <w:pPr>
        <w:bidi/>
        <w:spacing w:after="120" w:line="480" w:lineRule="auto"/>
        <w:jc w:val="right"/>
      </w:pPr>
      <w:r>
        <w:rPr>
          <w:rFonts w:ascii="David" w:cs="David" w:hAnsi="David"/>
          <w:b w:val="false"/>
          <w:bCs w:val="false"/>
          <w:i w:val="false"/>
          <w:iCs w:val="false"/>
          <w:sz w:val="24"/>
          <w:szCs w:val="24"/>
          <w:rtl/>
        </w:rPr>
        <w:t xml:space="preserve">מודל </w:t>
      </w:r>
      <w:r>
        <w:rPr>
          <w:rFonts w:ascii="Times New Roman" w:cs="Times New Roman" w:hAnsi="Times New Roman"/>
          <w:b w:val="false"/>
          <w:bCs w:val="false"/>
          <w:i w:val="false"/>
          <w:iCs w:val="false"/>
          <w:sz w:val="24"/>
          <w:szCs w:val="24"/>
          <w:rtl w:val="false"/>
        </w:rPr>
        <w:t xml:space="preserve">AIDUA </w:t>
      </w:r>
      <w:r>
        <w:rPr>
          <w:rFonts w:ascii="David" w:cs="David" w:hAnsi="David"/>
          <w:b w:val="false"/>
          <w:bCs w:val="false"/>
          <w:i w:val="false"/>
          <w:iCs w:val="false"/>
          <w:sz w:val="24"/>
          <w:szCs w:val="24"/>
          <w:rtl/>
        </w:rPr>
        <w:t xml:space="preserve">יושם לאחרונה על מורים בישראל. במחקר שנערך בקרב 270 מורים נמצא שכל ששת ממדי האימוץ שנבדקו קשורים לשימוש מקצועי בבינה מלאכותית יוצרת, אך המנבאים החזקים ביותר היו דווקא המוטיבציה הנהנתנית והנכונות להשתמש, לצד רגשות חיוביים כלפי הטכנולוגיה. הציפייה למאמץ נמצאה קשורה לשימוש בכיוון שלילי, כלומר ככל שהכלי נתפס מסובך יותר כך פחת השימוש בו, והשכלת המורה נמצאה קשורה לשימוש בכיוון חיובי (דשן ואחרים, 2026). החוקרים מסיקים שאימוץ הטכנולוגיה בקרב מורים מונע במידה רבה ממניעים רגשיים וחווייתיים, הנאה, סקרנות ואמון, ולא משיקולי תועלת בלבד, וממליצים לפתח תרבות בית-ספרית המעודדת התנסות, קהילות מורים תומכות והכשרות מעשיות שיפחיתו את המאמץ הנתפס (דשן ואחרים, 2026).</w:t>
      </w:r>
    </w:p>
    <w:p>
      <w:pPr>
        <w:bidi/>
        <w:spacing w:after="120" w:line="480" w:lineRule="auto"/>
        <w:jc w:val="right"/>
      </w:pPr>
      <w:r>
        <w:rPr>
          <w:rFonts w:ascii="David" w:cs="David" w:hAnsi="David"/>
          <w:b w:val="false"/>
          <w:bCs w:val="false"/>
          <w:i w:val="false"/>
          <w:iCs w:val="false"/>
          <w:sz w:val="24"/>
          <w:szCs w:val="24"/>
          <w:rtl/>
        </w:rPr>
        <w:t xml:space="preserve">בצד המעכב עומדת חרדת הבינה המלאכותית. לי והואנג (</w:t>
      </w:r>
      <w:r>
        <w:rPr>
          <w:rFonts w:ascii="Times New Roman" w:cs="Times New Roman" w:hAnsi="Times New Roman"/>
          <w:b w:val="false"/>
          <w:bCs w:val="false"/>
          <w:i w:val="false"/>
          <w:iCs w:val="false"/>
          <w:sz w:val="24"/>
          <w:szCs w:val="24"/>
          <w:rtl w:val="false"/>
        </w:rPr>
        <w:t xml:space="preserve">Li &amp; Huang, 2020) </w:t>
      </w:r>
      <w:r>
        <w:rPr>
          <w:rFonts w:ascii="David" w:cs="David" w:hAnsi="David"/>
          <w:b w:val="false"/>
          <w:bCs w:val="false"/>
          <w:i w:val="false"/>
          <w:iCs w:val="false"/>
          <w:sz w:val="24"/>
          <w:szCs w:val="24"/>
          <w:rtl/>
        </w:rPr>
        <w:t xml:space="preserve">מיפו שמונה ממדים של חרדה זו, ובהם חשש מהחלפה בעבודה, חרדת למידה של טכנולוגיה מורכבת, חשש מפגיעה בפרטיות, מהטיות, מהיעדר שקיפות ומסוגיות אתיות. הם מראים שחרדת בינה מלאכותית שונה במהותה מחרדת מחשב מסורתית, משום שהטכנולוגיה מקבלת החלטות באופן עצמאי ומתפתחת בעצמה. עם זאת, עוצמת השפעתה של החרדה אינה אחידה: אצל מורים נמצא שדווקא תחושת המסוגלות והרלוונטיות הנתפסת של התחום מנבאות את הכוונה לעסוק בו, ואילו החרדה לא נמצאה מנבא מובהק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ממצאים אלה מחזקים את התפיסה שההתמודדות עם עמדות מורים צריכה להתמקד בהעצמה ובהכשרה ולא רק בהפגת חששות (דשן ואחרים, 2026; </w:t>
      </w:r>
      <w:r>
        <w:rPr>
          <w:rFonts w:ascii="Times New Roman" w:cs="Times New Roman" w:hAnsi="Times New Roman"/>
          <w:b w:val="false"/>
          <w:bCs w:val="false"/>
          <w:i w:val="false"/>
          <w:iCs w:val="false"/>
          <w:sz w:val="24"/>
          <w:szCs w:val="24"/>
          <w:rtl w:val="false"/>
        </w:rPr>
        <w:t xml:space="preserve">Ayanwale et al., 2022).</w:t>
      </w:r>
    </w:p>
    <w:p>
      <w:pPr>
        <w:pageBreakBefore/>
        <w:bidi/>
        <w:spacing w:after="240" w:line="480" w:lineRule="auto"/>
        <w:jc w:val="right"/>
      </w:pPr>
      <w:r>
        <w:rPr>
          <w:rFonts w:ascii="David" w:cs="David" w:hAnsi="David"/>
          <w:b/>
          <w:bCs/>
          <w:i w:val="false"/>
          <w:iCs w:val="false"/>
          <w:sz w:val="28"/>
          <w:szCs w:val="28"/>
          <w:rtl/>
        </w:rPr>
        <w:t xml:space="preserve">7. אתגרים בשילוב טכנולוגיות למידה וכלי בינה מלאכותית בהוראת האנגלית</w:t>
      </w:r>
    </w:p>
    <w:p>
      <w:pPr>
        <w:bidi/>
        <w:spacing w:after="180" w:line="480" w:lineRule="auto"/>
        <w:jc w:val="right"/>
      </w:pPr>
      <w:r>
        <w:rPr>
          <w:rFonts w:ascii="David" w:cs="David" w:hAnsi="David"/>
          <w:b/>
          <w:bCs/>
          <w:i w:val="false"/>
          <w:iCs w:val="false"/>
          <w:sz w:val="24"/>
          <w:szCs w:val="24"/>
          <w:rtl/>
        </w:rPr>
        <w:t xml:space="preserve">7.1 פער בין עמדות ליישום, משאבים והתאמה דיסציפלינרית</w:t>
      </w:r>
    </w:p>
    <w:p>
      <w:pPr>
        <w:bidi/>
        <w:spacing w:after="120" w:line="480" w:lineRule="auto"/>
        <w:jc w:val="right"/>
      </w:pPr>
      <w:r>
        <w:rPr>
          <w:rFonts w:ascii="David" w:cs="David" w:hAnsi="David"/>
          <w:b w:val="false"/>
          <w:bCs w:val="false"/>
          <w:i w:val="false"/>
          <w:iCs w:val="false"/>
          <w:sz w:val="24"/>
          <w:szCs w:val="24"/>
          <w:rtl/>
        </w:rPr>
        <w:t xml:space="preserve">הספרות הישראלית מתעדת פער עקבי בין עמדות חיוביות של מורים ובין יישום בפועל. מחקר על מורי מתמטיקה בתיכון מצא שרובם רואים בעין יפה שילוב של תכנים מעשירים והוראה בין-תחומית, אך כמעט אינם מיישמים זאת בכיתה בשל לחץ בחינות הבגרות, מחסור בשעות ותכנית לימודים עמוסה (מידז'נסקי ומלמד, 2022). דפוס דומה צפוי גם בשילוב בינה מלאכותית: עמדה חיובית איננה מתורגמת מאליה לפרקטיקה כאשר המשאבים, הזמן והתשתיות מוגבלים. לכך מצטרפים פערי נגישות בין בתי ספר ובין אוכלוסיות, המכונים "פער דיגיטלי מסדר שני", שבו ההבדל אינו רק בגישה לכלים אלא באיכות השימוש בהם (</w:t>
      </w:r>
      <w:r>
        <w:rPr>
          <w:rFonts w:ascii="Times New Roman" w:cs="Times New Roman" w:hAnsi="Times New Roman"/>
          <w:b w:val="false"/>
          <w:bCs w:val="false"/>
          <w:i w:val="false"/>
          <w:iCs w:val="false"/>
          <w:sz w:val="24"/>
          <w:szCs w:val="24"/>
          <w:rtl w:val="false"/>
        </w:rPr>
        <w:t xml:space="preserve">Mishra et al., 2023).</w:t>
      </w:r>
    </w:p>
    <w:p>
      <w:pPr>
        <w:bidi/>
        <w:spacing w:after="180" w:line="480" w:lineRule="auto"/>
        <w:jc w:val="right"/>
      </w:pPr>
      <w:r>
        <w:rPr>
          <w:rFonts w:ascii="David" w:cs="David" w:hAnsi="David"/>
          <w:b/>
          <w:bCs/>
          <w:i w:val="false"/>
          <w:iCs w:val="false"/>
          <w:sz w:val="24"/>
          <w:szCs w:val="24"/>
          <w:rtl/>
        </w:rPr>
        <w:t xml:space="preserve">7.2 מחסור בהכשרה מקצועית</w:t>
      </w:r>
    </w:p>
    <w:p>
      <w:pPr>
        <w:bidi/>
        <w:spacing w:after="120" w:line="480" w:lineRule="auto"/>
        <w:jc w:val="right"/>
      </w:pPr>
      <w:r>
        <w:rPr>
          <w:rFonts w:ascii="David" w:cs="David" w:hAnsi="David"/>
          <w:b w:val="false"/>
          <w:bCs w:val="false"/>
          <w:i w:val="false"/>
          <w:iCs w:val="false"/>
          <w:sz w:val="24"/>
          <w:szCs w:val="24"/>
          <w:rtl/>
        </w:rPr>
        <w:t xml:space="preserve">גורם מעכב מרכזי נוסף הוא היעדר הכשרה מתאימה. הציפייה למאמץ נמצאה כאמור חסם ממשי לשימוש מקצועי בבינה מלאכותית יוצרת, ומכאן הצורך בהכשרות מעשיות, בליווי אישי ובמשאבים זמינים שיהפכו את הכלי לנגיש (דשן ואחרים, 2026). גם בקרב מורים שנמצאו חיוביים כלפי הוראת בינה מלאכותית, ההמלצה המחקרית היא פיתוח מקצועי הכולל התנסות מודרכת, חיזוק תחושת המסוגלות וגיבוי מערכתי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ניסיון הקורונה מלמד שכאשר הצורך מיידי והמסגרת תומכת, מורים אכן מסגלים כלים חדשים בקצב מהיר (חיאק ואבידב-אונגר, 2022).</w:t>
      </w:r>
    </w:p>
    <w:p>
      <w:pPr>
        <w:bidi/>
        <w:spacing w:after="180" w:line="480" w:lineRule="auto"/>
        <w:jc w:val="right"/>
      </w:pPr>
      <w:r>
        <w:rPr>
          <w:rFonts w:ascii="David" w:cs="David" w:hAnsi="David"/>
          <w:b/>
          <w:bCs/>
          <w:i w:val="false"/>
          <w:iCs w:val="false"/>
          <w:sz w:val="24"/>
          <w:szCs w:val="24"/>
          <w:rtl/>
        </w:rPr>
        <w:t xml:space="preserve">7.3 חששות אתיים וחינוכיים</w:t>
      </w:r>
    </w:p>
    <w:p>
      <w:pPr>
        <w:bidi/>
        <w:spacing w:after="120" w:line="480" w:lineRule="auto"/>
        <w:jc w:val="right"/>
      </w:pPr>
      <w:r>
        <w:rPr>
          <w:rFonts w:ascii="David" w:cs="David" w:hAnsi="David"/>
          <w:b w:val="false"/>
          <w:bCs w:val="false"/>
          <w:i w:val="false"/>
          <w:iCs w:val="false"/>
          <w:sz w:val="24"/>
          <w:szCs w:val="24"/>
          <w:rtl/>
        </w:rPr>
        <w:t xml:space="preserve">בהוראת שפה מתחדדים חששות ייחודיים: הסתמכות יתר של תלמידים על הכלי בכתיבה עלולה לפגוע בפיתוח מיומנויות היסוד שהשיעור נועד להקנות, והערכת הישגים מסורתית מאבדת מתוקפה כאשר הכלי מסוגל לבצע את המטלה (</w:t>
      </w:r>
      <w:r>
        <w:rPr>
          <w:rFonts w:ascii="Times New Roman" w:cs="Times New Roman" w:hAnsi="Times New Roman"/>
          <w:b w:val="false"/>
          <w:bCs w:val="false"/>
          <w:i w:val="false"/>
          <w:iCs w:val="false"/>
          <w:sz w:val="24"/>
          <w:szCs w:val="24"/>
          <w:rtl w:val="false"/>
        </w:rPr>
        <w:t xml:space="preserve">Kohnke et al., 2023; Mishra et al., 2023). </w:t>
      </w:r>
      <w:r>
        <w:rPr>
          <w:rFonts w:ascii="David" w:cs="David" w:hAnsi="David"/>
          <w:b w:val="false"/>
          <w:bCs w:val="false"/>
          <w:i w:val="false"/>
          <w:iCs w:val="false"/>
          <w:sz w:val="24"/>
          <w:szCs w:val="24"/>
          <w:rtl/>
        </w:rPr>
        <w:t xml:space="preserve">נוספים לכך סיכוני מידע שגוי והטיות תרבותיות בטקסטים שהכלי מפיק, סוגיות פרטיות בעבודה עם קטינים והצורך בהסכמת הורים, כפי שמחייבות הנחיות משרד החינוך (משרד החינוך, 2025; </w:t>
      </w:r>
      <w:r>
        <w:rPr>
          <w:rFonts w:ascii="Times New Roman" w:cs="Times New Roman" w:hAnsi="Times New Roman"/>
          <w:b w:val="false"/>
          <w:bCs w:val="false"/>
          <w:i w:val="false"/>
          <w:iCs w:val="false"/>
          <w:sz w:val="24"/>
          <w:szCs w:val="24"/>
          <w:rtl w:val="false"/>
        </w:rPr>
        <w:t xml:space="preserve">Holmes &amp; Miao, 2023). </w:t>
      </w:r>
      <w:r>
        <w:rPr>
          <w:rFonts w:ascii="David" w:cs="David" w:hAnsi="David"/>
          <w:b w:val="false"/>
          <w:bCs w:val="false"/>
          <w:i w:val="false"/>
          <w:iCs w:val="false"/>
          <w:sz w:val="24"/>
          <w:szCs w:val="24"/>
          <w:rtl/>
        </w:rPr>
        <w:t xml:space="preserve">האתגר החינוכי איננו רק טכני אלא ערכי: על המורה לתווך ללומדים הצעירים שימוש ביקורתי ואחראי, בגיל שבו החשיבה הביקורתית עודנה מתפתחת (</w:t>
      </w:r>
      <w:r>
        <w:rPr>
          <w:rFonts w:ascii="Times New Roman" w:cs="Times New Roman" w:hAnsi="Times New Roman"/>
          <w:b w:val="false"/>
          <w:bCs w:val="false"/>
          <w:i w:val="false"/>
          <w:iCs w:val="false"/>
          <w:sz w:val="24"/>
          <w:szCs w:val="24"/>
          <w:rtl w:val="false"/>
        </w:rPr>
        <w:t xml:space="preserve">Ng et al., 2021).</w:t>
      </w:r>
    </w:p>
    <w:p>
      <w:pPr>
        <w:pageBreakBefore/>
        <w:bidi/>
        <w:spacing w:after="240" w:line="480" w:lineRule="auto"/>
        <w:jc w:val="right"/>
      </w:pPr>
      <w:r>
        <w:rPr>
          <w:rFonts w:ascii="David" w:cs="David" w:hAnsi="David"/>
          <w:b/>
          <w:bCs/>
          <w:i w:val="false"/>
          <w:iCs w:val="false"/>
          <w:sz w:val="28"/>
          <w:szCs w:val="28"/>
          <w:rtl/>
        </w:rPr>
        <w:t xml:space="preserve">8. תפיסות מורי אנגלית בבית הספר היסודי כלפי שילוב בינה מלאכותית יוצרת</w:t>
      </w:r>
    </w:p>
    <w:p>
      <w:pPr>
        <w:bidi/>
        <w:spacing w:after="120" w:line="480" w:lineRule="auto"/>
        <w:jc w:val="right"/>
      </w:pPr>
      <w:r>
        <w:rPr>
          <w:rFonts w:ascii="David" w:cs="David" w:hAnsi="David"/>
          <w:b w:val="false"/>
          <w:bCs w:val="false"/>
          <w:i w:val="false"/>
          <w:iCs w:val="false"/>
          <w:sz w:val="24"/>
          <w:szCs w:val="24"/>
          <w:rtl/>
        </w:rPr>
        <w:t xml:space="preserve">קצה המשפך של סקירה זו הוא המפגש שבין כל הגורמים שנדונו: מורי אנגלית בבית הספר היסודי בישראל העומדים מול כלי בינה מלאכותית יוצרת. הוראת האנגלית היא מקרה מבחן מובהק, משום שהטכנולוגיה פועלת בליבת הדיסציפלינה, ייצור שפה, והיא מציעה למורה בדיוק את מה שקשה להשיג בכיתה הטרוגנית: קלט מדורג, תרגול אישי ומשוב מיידי לכל לומד (</w:t>
      </w:r>
      <w:r>
        <w:rPr>
          <w:rFonts w:ascii="Times New Roman" w:cs="Times New Roman" w:hAnsi="Times New Roman"/>
          <w:b w:val="false"/>
          <w:bCs w:val="false"/>
          <w:i w:val="false"/>
          <w:iCs w:val="false"/>
          <w:sz w:val="24"/>
          <w:szCs w:val="24"/>
          <w:rtl w:val="false"/>
        </w:rPr>
        <w:t xml:space="preserve">Kohnke et al., 2023; Krashen, 1982). </w:t>
      </w:r>
      <w:r>
        <w:rPr>
          <w:rFonts w:ascii="David" w:cs="David" w:hAnsi="David"/>
          <w:b w:val="false"/>
          <w:bCs w:val="false"/>
          <w:i w:val="false"/>
          <w:iCs w:val="false"/>
          <w:sz w:val="24"/>
          <w:szCs w:val="24"/>
          <w:rtl/>
        </w:rPr>
        <w:t xml:space="preserve">בה בעת, העבודה עם לומדים צעירים מחדדת את הסיכונים, מדיוק לשוני של הכלי ועד הגנה על פרטיות קטינים, ומחייבת עמידה בהנחיות הרגולציה (משרד החינוך, 2025).</w:t>
      </w:r>
    </w:p>
    <w:p>
      <w:pPr>
        <w:bidi/>
        <w:spacing w:after="120" w:line="480" w:lineRule="auto"/>
        <w:jc w:val="right"/>
      </w:pPr>
      <w:r>
        <w:rPr>
          <w:rFonts w:ascii="David" w:cs="David" w:hAnsi="David"/>
          <w:b w:val="false"/>
          <w:bCs w:val="false"/>
          <w:i w:val="false"/>
          <w:iCs w:val="false"/>
          <w:sz w:val="24"/>
          <w:szCs w:val="24"/>
          <w:rtl/>
        </w:rPr>
        <w:t xml:space="preserve">הידע המחקרי הקיים מקיף את מעגלי ההקשר אך טרם הגיע אל מרכזם. ידוע שאימוץ טכנולוגיה בקרב מורים תלוי בתפיסות סובייקטיביות של שימושיות וקלות שימוש (</w:t>
      </w:r>
      <w:r>
        <w:rPr>
          <w:rFonts w:ascii="Times New Roman" w:cs="Times New Roman" w:hAnsi="Times New Roman"/>
          <w:b w:val="false"/>
          <w:bCs w:val="false"/>
          <w:i w:val="false"/>
          <w:iCs w:val="false"/>
          <w:sz w:val="24"/>
          <w:szCs w:val="24"/>
          <w:rtl w:val="false"/>
        </w:rPr>
        <w:t xml:space="preserve">Davis, 1989), </w:t>
      </w:r>
      <w:r>
        <w:rPr>
          <w:rFonts w:ascii="David" w:cs="David" w:hAnsi="David"/>
          <w:b w:val="false"/>
          <w:bCs w:val="false"/>
          <w:i w:val="false"/>
          <w:iCs w:val="false"/>
          <w:sz w:val="24"/>
          <w:szCs w:val="24"/>
          <w:rtl/>
        </w:rPr>
        <w:t xml:space="preserve">שבאימוץ בינה מלאכותית ההכרעה עוברת דרך הרגש והחוויה (</w:t>
      </w:r>
      <w:r>
        <w:rPr>
          <w:rFonts w:ascii="Times New Roman" w:cs="Times New Roman" w:hAnsi="Times New Roman"/>
          <w:b w:val="false"/>
          <w:bCs w:val="false"/>
          <w:i w:val="false"/>
          <w:iCs w:val="false"/>
          <w:sz w:val="24"/>
          <w:szCs w:val="24"/>
          <w:rtl w:val="false"/>
        </w:rPr>
        <w:t xml:space="preserve">Gursoy et al., 2019), </w:t>
      </w:r>
      <w:r>
        <w:rPr>
          <w:rFonts w:ascii="David" w:cs="David" w:hAnsi="David"/>
          <w:b w:val="false"/>
          <w:bCs w:val="false"/>
          <w:i w:val="false"/>
          <w:iCs w:val="false"/>
          <w:sz w:val="24"/>
          <w:szCs w:val="24"/>
          <w:rtl/>
        </w:rPr>
        <w:t xml:space="preserve">ושבישראל המוטיבציה הנהנתנית והנכונות להתנסות הן המנבאים החזקים של שימוש מקצועי בקרב מורים בכלל (דשן ואחרים, 2026). ידוע גם שמסוגלות ורלוונטיות נתפסת מנבאות כוונת עיסוק בתחום יותר מאשר חרדה (</w:t>
      </w:r>
      <w:r>
        <w:rPr>
          <w:rFonts w:ascii="Times New Roman" w:cs="Times New Roman" w:hAnsi="Times New Roman"/>
          <w:b w:val="false"/>
          <w:bCs w:val="false"/>
          <w:i w:val="false"/>
          <w:iCs w:val="false"/>
          <w:sz w:val="24"/>
          <w:szCs w:val="24"/>
          <w:rtl w:val="false"/>
        </w:rPr>
        <w:t xml:space="preserve">Ayanwale et al., 2022), </w:t>
      </w:r>
      <w:r>
        <w:rPr>
          <w:rFonts w:ascii="David" w:cs="David" w:hAnsi="David"/>
          <w:b w:val="false"/>
          <w:bCs w:val="false"/>
          <w:i w:val="false"/>
          <w:iCs w:val="false"/>
          <w:sz w:val="24"/>
          <w:szCs w:val="24"/>
          <w:rtl/>
        </w:rPr>
        <w:t xml:space="preserve">ושבהוראת שפות לכלי יש פוטנציאל פדגוגי ניכר לצד מגבלות (</w:t>
      </w:r>
      <w:r>
        <w:rPr>
          <w:rFonts w:ascii="Times New Roman" w:cs="Times New Roman" w:hAnsi="Times New Roman"/>
          <w:b w:val="false"/>
          <w:bCs w:val="false"/>
          <w:i w:val="false"/>
          <w:iCs w:val="false"/>
          <w:sz w:val="24"/>
          <w:szCs w:val="24"/>
          <w:rtl w:val="false"/>
        </w:rPr>
        <w:t xml:space="preserve">Kohnke et al., 2023). </w:t>
      </w:r>
      <w:r>
        <w:rPr>
          <w:rFonts w:ascii="David" w:cs="David" w:hAnsi="David"/>
          <w:b w:val="false"/>
          <w:bCs w:val="false"/>
          <w:i w:val="false"/>
          <w:iCs w:val="false"/>
          <w:sz w:val="24"/>
          <w:szCs w:val="24"/>
          <w:rtl/>
        </w:rPr>
        <w:t xml:space="preserve">ואולם מחקרים אלה עסקו במורים באשר הם, בלומדים בוגרים או בהקשרים שאינם ישראליים, וטרם נבחנו לעומק תפיסותיהם של מורי אנגלית בבית הספר היסודי בישראל, המלמדים שפה זרה ללומדים צעירים בתנאי מערכת ייחודיים. את הפער הזה מבקש המחקר הנוכחי למלא, באמצעות בחינה איכותנית של האופן שבו מורים אלה תופסים את שילוב הכלים בהוראתם, את התועלות ואת החסמים שהם מזהים ואת מה שנדרש להם כדי לשלב את הטכנולוגיה באופן מיטבי.</w:t>
      </w:r>
    </w:p>
    <w:p>
      <w:pPr>
        <w:pageBreakBefore/>
        <w:bidi/>
        <w:spacing w:after="240" w:line="480" w:lineRule="auto"/>
        <w:jc w:val="right"/>
      </w:pPr>
      <w:r>
        <w:rPr>
          <w:rFonts w:ascii="David" w:cs="David" w:hAnsi="David"/>
          <w:b/>
          <w:bCs/>
          <w:i w:val="false"/>
          <w:iCs w:val="false"/>
          <w:sz w:val="28"/>
          <w:szCs w:val="28"/>
          <w:rtl/>
        </w:rPr>
        <w:t xml:space="preserve">רשימת מקורות</w:t>
      </w:r>
    </w:p>
    <w:p>
      <w:pPr>
        <w:bidi/>
        <w:spacing w:after="120" w:line="480" w:lineRule="auto"/>
        <w:ind w:start="709" w:hanging="709"/>
        <w:jc w:val="right"/>
      </w:pPr>
      <w:r>
        <w:rPr>
          <w:rFonts w:ascii="David" w:cs="David" w:hAnsi="David"/>
          <w:b w:val="false"/>
          <w:bCs w:val="false"/>
          <w:i w:val="false"/>
          <w:iCs w:val="false"/>
          <w:sz w:val="24"/>
          <w:szCs w:val="24"/>
          <w:rtl/>
        </w:rPr>
        <w:t xml:space="preserve">דשן, מ', הררי, ר' ואהרוני, נ' (2026). אימוץ בינה מלאכותית יוצרת (</w:t>
      </w:r>
      <w:r>
        <w:rPr>
          <w:rFonts w:ascii="Times New Roman" w:cs="Times New Roman" w:hAnsi="Times New Roman"/>
          <w:b w:val="false"/>
          <w:bCs w:val="false"/>
          <w:i w:val="false"/>
          <w:iCs w:val="false"/>
          <w:sz w:val="24"/>
          <w:szCs w:val="24"/>
          <w:rtl w:val="false"/>
        </w:rPr>
        <w:t xml:space="preserve">GenAI) </w:t>
      </w:r>
      <w:r>
        <w:rPr>
          <w:rFonts w:ascii="David" w:cs="David" w:hAnsi="David"/>
          <w:b w:val="false"/>
          <w:bCs w:val="false"/>
          <w:i w:val="false"/>
          <w:iCs w:val="false"/>
          <w:sz w:val="24"/>
          <w:szCs w:val="24"/>
          <w:rtl/>
        </w:rPr>
        <w:t xml:space="preserve">לצורכי הוראה בקרב מורים. בתוך א' בלאו, ד' אולניק-שמש, נ' גרי, א' כספי, י' סידי, י' עשת-אלקלעי, י' קלמן ונ' ברנדל (עורכים), </w:t>
      </w:r>
      <w:r>
        <w:rPr>
          <w:rFonts w:ascii="David" w:cs="David" w:hAnsi="David"/>
          <w:b w:val="false"/>
          <w:bCs w:val="false"/>
          <w:i/>
          <w:iCs/>
          <w:sz w:val="24"/>
          <w:szCs w:val="24"/>
          <w:rtl/>
        </w:rPr>
        <w:t xml:space="preserve">ספר הכנס העשרים ואחד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ע49-ע56). האוניברסיטה הפתוחה.</w:t>
      </w:r>
    </w:p>
    <w:p>
      <w:pPr>
        <w:bidi/>
        <w:spacing w:after="120" w:line="480" w:lineRule="auto"/>
        <w:ind w:start="709" w:hanging="709"/>
        <w:jc w:val="right"/>
      </w:pPr>
      <w:r>
        <w:rPr>
          <w:rFonts w:ascii="David" w:cs="David" w:hAnsi="David"/>
          <w:b w:val="false"/>
          <w:bCs w:val="false"/>
          <w:i w:val="false"/>
          <w:iCs w:val="false"/>
          <w:sz w:val="24"/>
          <w:szCs w:val="24"/>
          <w:rtl/>
        </w:rPr>
        <w:t xml:space="preserve">חיאק, מ' ואבידב-אונגר, א' (2022). "משני צידי המתרס": תפיסותיהם של בעלי תפקידים אקדמיים בכירים במכללות להכשרת מורים ביחס לשילוב טכנולוגיה בהוראה במהלך מגפת הקורונה. בתוך י' עשת-אלקלעי, א' בלאו, נ' גרי, א' כספי, ת' לוטרמן, י' סידי וי' קלמן (עורכים), </w:t>
      </w:r>
      <w:r>
        <w:rPr>
          <w:rFonts w:ascii="David" w:cs="David" w:hAnsi="David"/>
          <w:b w:val="false"/>
          <w:bCs w:val="false"/>
          <w:i/>
          <w:iCs/>
          <w:sz w:val="24"/>
          <w:szCs w:val="24"/>
          <w:rtl/>
        </w:rPr>
        <w:t xml:space="preserve">ספר הכנס השבעה-עשר לחקר חדשנות וטכנולוגיות למידה ע"ש צ'ייס: האדם הלומד בעידן הדיגיטלי</w:t>
      </w:r>
      <w:r>
        <w:rPr>
          <w:rFonts w:ascii="David" w:cs="David" w:hAnsi="David"/>
          <w:b w:val="false"/>
          <w:bCs w:val="false"/>
          <w:i w:val="false"/>
          <w:iCs w:val="false"/>
          <w:sz w:val="24"/>
          <w:szCs w:val="24"/>
          <w:rtl/>
        </w:rPr>
        <w:t xml:space="preserve"> (עמ' ע140-ע146). האוניברסיטה הפתוחה.</w:t>
      </w:r>
    </w:p>
    <w:p>
      <w:pPr>
        <w:bidi/>
        <w:spacing w:after="120" w:line="480" w:lineRule="auto"/>
        <w:ind w:start="709" w:hanging="709"/>
        <w:jc w:val="right"/>
      </w:pPr>
      <w:r>
        <w:rPr>
          <w:rFonts w:ascii="David" w:cs="David" w:hAnsi="David"/>
          <w:b w:val="false"/>
          <w:bCs w:val="false"/>
          <w:i w:val="false"/>
          <w:iCs w:val="false"/>
          <w:sz w:val="24"/>
          <w:szCs w:val="24"/>
          <w:rtl/>
        </w:rPr>
        <w:t xml:space="preserve">לוי עצמון, ג' (2024). טכנולוגיות כסוכני שינוי [מצגת הרצאה]. הקריה האקדמית אונו.</w:t>
      </w:r>
    </w:p>
    <w:p>
      <w:pPr>
        <w:bidi/>
        <w:spacing w:after="120" w:line="480" w:lineRule="auto"/>
        <w:ind w:start="709" w:hanging="709"/>
        <w:jc w:val="right"/>
      </w:pPr>
      <w:r>
        <w:rPr>
          <w:rFonts w:ascii="David" w:cs="David" w:hAnsi="David"/>
          <w:b w:val="false"/>
          <w:bCs w:val="false"/>
          <w:i w:val="false"/>
          <w:iCs w:val="false"/>
          <w:sz w:val="24"/>
          <w:szCs w:val="24"/>
          <w:rtl/>
        </w:rPr>
        <w:t xml:space="preserve">לוי עצמון, ג' ורונן, ה' (2026). מודל </w:t>
      </w:r>
      <w:r>
        <w:rPr>
          <w:rFonts w:ascii="Times New Roman" w:cs="Times New Roman" w:hAnsi="Times New Roman"/>
          <w:b w:val="false"/>
          <w:bCs w:val="false"/>
          <w:i w:val="false"/>
          <w:iCs w:val="false"/>
          <w:sz w:val="24"/>
          <w:szCs w:val="24"/>
          <w:rtl w:val="false"/>
        </w:rPr>
        <w:t xml:space="preserve">TAM: </w:t>
      </w:r>
      <w:r>
        <w:rPr>
          <w:rFonts w:ascii="David" w:cs="David" w:hAnsi="David"/>
          <w:b w:val="false"/>
          <w:bCs w:val="false"/>
          <w:i w:val="false"/>
          <w:iCs w:val="false"/>
          <w:sz w:val="24"/>
          <w:szCs w:val="24"/>
          <w:rtl/>
        </w:rPr>
        <w:t xml:space="preserve">עמדות ותפיסות [מצגת הרצאה]. קורס סמינר, הקריה האקדמית אונו.</w:t>
      </w:r>
    </w:p>
    <w:p>
      <w:pPr>
        <w:bidi/>
        <w:spacing w:after="120" w:line="480" w:lineRule="auto"/>
        <w:ind w:start="709" w:hanging="709"/>
        <w:jc w:val="right"/>
      </w:pPr>
      <w:r>
        <w:rPr>
          <w:rFonts w:ascii="David" w:cs="David" w:hAnsi="David"/>
          <w:b w:val="false"/>
          <w:bCs w:val="false"/>
          <w:i w:val="false"/>
          <w:iCs w:val="false"/>
          <w:sz w:val="24"/>
          <w:szCs w:val="24"/>
          <w:rtl/>
        </w:rPr>
        <w:t xml:space="preserve">מורגנשטרן, ע', פינטו, א', גרהוף, ע', הופמן, ת', לוטטי, ש' וצבירן, ל' (2020). </w:t>
      </w:r>
      <w:r>
        <w:rPr>
          <w:rFonts w:ascii="David" w:cs="David" w:hAnsi="David"/>
          <w:b w:val="false"/>
          <w:bCs w:val="false"/>
          <w:i/>
          <w:iCs/>
          <w:sz w:val="24"/>
          <w:szCs w:val="24"/>
          <w:rtl/>
        </w:rPr>
        <w:t xml:space="preserve">פדגוגיה מוטת עתיד 3: מגמות, אתגרים, עקרונות והמלצות</w:t>
      </w:r>
      <w:r>
        <w:rPr>
          <w:rFonts w:ascii="David" w:cs="David" w:hAnsi="David"/>
          <w:b w:val="false"/>
          <w:bCs w:val="false"/>
          <w:i w:val="false"/>
          <w:iCs w:val="false"/>
          <w:sz w:val="24"/>
          <w:szCs w:val="24"/>
          <w:rtl/>
        </w:rPr>
        <w:t xml:space="preserve">. משרד החינוך.</w:t>
      </w:r>
    </w:p>
    <w:p>
      <w:pPr>
        <w:bidi/>
        <w:spacing w:after="120" w:line="480" w:lineRule="auto"/>
        <w:ind w:start="709" w:hanging="709"/>
        <w:jc w:val="right"/>
      </w:pPr>
      <w:r>
        <w:rPr>
          <w:rFonts w:ascii="David" w:cs="David" w:hAnsi="David"/>
          <w:b w:val="false"/>
          <w:bCs w:val="false"/>
          <w:i w:val="false"/>
          <w:iCs w:val="false"/>
          <w:sz w:val="24"/>
          <w:szCs w:val="24"/>
          <w:rtl/>
        </w:rPr>
        <w:t xml:space="preserve">מידז'נסקי, ש' ומלמד, ד' (2022). תופעות מתמטיות בטבע ושילובן בהוראת המקצוע בתיכון מנקודת מבטם של מורים למתמטיקה. </w:t>
      </w:r>
      <w:r>
        <w:rPr>
          <w:rFonts w:ascii="David" w:cs="David" w:hAnsi="David"/>
          <w:b w:val="false"/>
          <w:bCs w:val="false"/>
          <w:i/>
          <w:iCs/>
          <w:sz w:val="24"/>
          <w:szCs w:val="24"/>
          <w:rtl/>
        </w:rPr>
        <w:t xml:space="preserve">מחקר ועיון בחינוך מתמטי, 9</w:t>
      </w:r>
      <w:r>
        <w:rPr>
          <w:rFonts w:ascii="David" w:cs="David" w:hAnsi="David"/>
          <w:b w:val="false"/>
          <w:bCs w:val="false"/>
          <w:i w:val="false"/>
          <w:iCs w:val="false"/>
          <w:sz w:val="24"/>
          <w:szCs w:val="24"/>
          <w:rtl/>
        </w:rPr>
        <w:t xml:space="preserve">, 78-85.</w:t>
      </w:r>
    </w:p>
    <w:p>
      <w:pPr>
        <w:bidi/>
        <w:spacing w:after="120" w:line="480" w:lineRule="auto"/>
        <w:ind w:start="709" w:hanging="709"/>
        <w:jc w:val="right"/>
      </w:pPr>
      <w:r>
        <w:rPr>
          <w:rFonts w:ascii="David" w:cs="David" w:hAnsi="David"/>
          <w:b w:val="false"/>
          <w:bCs w:val="false"/>
          <w:i w:val="false"/>
          <w:iCs w:val="false"/>
          <w:sz w:val="24"/>
          <w:szCs w:val="24"/>
          <w:rtl/>
        </w:rPr>
        <w:t xml:space="preserve">משרד החינוך (2025). </w:t>
      </w:r>
      <w:r>
        <w:rPr>
          <w:rFonts w:ascii="David" w:cs="David" w:hAnsi="David"/>
          <w:b w:val="false"/>
          <w:bCs w:val="false"/>
          <w:i/>
          <w:iCs/>
          <w:sz w:val="24"/>
          <w:szCs w:val="24"/>
          <w:rtl/>
        </w:rPr>
        <w:t xml:space="preserve">הנחיות שימוש בכלי בינה מלאכותית במערכת החינוך</w:t>
      </w:r>
      <w:r>
        <w:rPr>
          <w:rFonts w:ascii="David" w:cs="David" w:hAnsi="David"/>
          <w:b w:val="false"/>
          <w:bCs w:val="false"/>
          <w:i w:val="false"/>
          <w:iCs w:val="false"/>
          <w:sz w:val="24"/>
          <w:szCs w:val="24"/>
          <w:rtl/>
        </w:rPr>
        <w:t xml:space="preserve">. הקטלוג החינוכי, אתר משרד החינוך.</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Ayanwale, M. A., Sanusi, I. T., Adelana, O. P., Aruleba, K. D., &amp; Oyelere, S. S. (2022). Teachers' readiness and intention to teach artificial intelligence in schools. </w:t>
      </w:r>
      <w:r>
        <w:rPr>
          <w:rFonts w:ascii="Times New Roman" w:cs="Times New Roman" w:hAnsi="Times New Roman"/>
          <w:b w:val="false"/>
          <w:bCs w:val="false"/>
          <w:i/>
          <w:iCs/>
          <w:sz w:val="24"/>
          <w:szCs w:val="24"/>
          <w:rtl w:val="false"/>
        </w:rPr>
        <w:t xml:space="preserve">Computers and Education: Artificial Intelligence, 3</w:t>
      </w:r>
      <w:r>
        <w:rPr>
          <w:rFonts w:ascii="Times New Roman" w:cs="Times New Roman" w:hAnsi="Times New Roman"/>
          <w:b w:val="false"/>
          <w:bCs w:val="false"/>
          <w:i w:val="false"/>
          <w:iCs w:val="false"/>
          <w:sz w:val="24"/>
          <w:szCs w:val="24"/>
          <w:rtl w:val="false"/>
        </w:rPr>
        <w:t xml:space="preserve">, Article 100099. https://doi.org/10.1016/j.caeai.2022.100099</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Cameron, L. (2001). </w:t>
      </w:r>
      <w:r>
        <w:rPr>
          <w:rFonts w:ascii="Times New Roman" w:cs="Times New Roman" w:hAnsi="Times New Roman"/>
          <w:b w:val="false"/>
          <w:bCs w:val="false"/>
          <w:i/>
          <w:iCs/>
          <w:sz w:val="24"/>
          <w:szCs w:val="24"/>
          <w:rtl w:val="false"/>
        </w:rPr>
        <w:t xml:space="preserve">Teaching languages to young learners</w:t>
      </w:r>
      <w:r>
        <w:rPr>
          <w:rFonts w:ascii="Times New Roman" w:cs="Times New Roman" w:hAnsi="Times New Roman"/>
          <w:b w:val="false"/>
          <w:bCs w:val="false"/>
          <w:i w:val="false"/>
          <w:iCs w:val="false"/>
          <w:sz w:val="24"/>
          <w:szCs w:val="24"/>
          <w:rtl w:val="false"/>
        </w:rPr>
        <w:t xml:space="preserve">. Cambridge University Press.</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Celik, I., Dindar, M., Muukkonen, H., &amp; Järvelä, S. (2022). The promises and challenges of artificial intelligence for teachers: A systematic review of research. </w:t>
      </w:r>
      <w:r>
        <w:rPr>
          <w:rFonts w:ascii="Times New Roman" w:cs="Times New Roman" w:hAnsi="Times New Roman"/>
          <w:b w:val="false"/>
          <w:bCs w:val="false"/>
          <w:i/>
          <w:iCs/>
          <w:sz w:val="24"/>
          <w:szCs w:val="24"/>
          <w:rtl w:val="false"/>
        </w:rPr>
        <w:t xml:space="preserve">TechTrends, 66</w:t>
      </w:r>
      <w:r>
        <w:rPr>
          <w:rFonts w:ascii="David" w:cs="David" w:hAnsi="David"/>
          <w:b w:val="false"/>
          <w:bCs w:val="false"/>
          <w:i w:val="false"/>
          <w:iCs w:val="false"/>
          <w:sz w:val="24"/>
          <w:szCs w:val="24"/>
          <w:rtl/>
        </w:rPr>
        <w:t xml:space="preserve">(4), 616-630.</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Davis, F. D. (1989). Perceived usefulness, perceived ease of use, and user acceptance of information technology. </w:t>
      </w:r>
      <w:r>
        <w:rPr>
          <w:rFonts w:ascii="Times New Roman" w:cs="Times New Roman" w:hAnsi="Times New Roman"/>
          <w:b w:val="false"/>
          <w:bCs w:val="false"/>
          <w:i/>
          <w:iCs/>
          <w:sz w:val="24"/>
          <w:szCs w:val="24"/>
          <w:rtl w:val="false"/>
        </w:rPr>
        <w:t xml:space="preserve">MIS Quarterly, 13</w:t>
      </w:r>
      <w:r>
        <w:rPr>
          <w:rFonts w:ascii="David" w:cs="David" w:hAnsi="David"/>
          <w:b w:val="false"/>
          <w:bCs w:val="false"/>
          <w:i w:val="false"/>
          <w:iCs w:val="false"/>
          <w:sz w:val="24"/>
          <w:szCs w:val="24"/>
          <w:rtl/>
        </w:rPr>
        <w:t xml:space="preserve">(3), 319-340.</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Gašević, D., Siemens, G., &amp; Sadiq, S. (2023). Empowering learners for the age of artificial intelligence. </w:t>
      </w:r>
      <w:r>
        <w:rPr>
          <w:rFonts w:ascii="Times New Roman" w:cs="Times New Roman" w:hAnsi="Times New Roman"/>
          <w:b w:val="false"/>
          <w:bCs w:val="false"/>
          <w:i/>
          <w:iCs/>
          <w:sz w:val="24"/>
          <w:szCs w:val="24"/>
          <w:rtl w:val="false"/>
        </w:rPr>
        <w:t xml:space="preserve">Computers and Education: Artificial Intelligence, 4</w:t>
      </w:r>
      <w:r>
        <w:rPr>
          <w:rFonts w:ascii="Times New Roman" w:cs="Times New Roman" w:hAnsi="Times New Roman"/>
          <w:b w:val="false"/>
          <w:bCs w:val="false"/>
          <w:i w:val="false"/>
          <w:iCs w:val="false"/>
          <w:sz w:val="24"/>
          <w:szCs w:val="24"/>
          <w:rtl w:val="false"/>
        </w:rPr>
        <w:t xml:space="preserve">, Article 100130.</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Gursoy, D., Chi, O. H., Lu, L., &amp; Nunkoo, R. (2019). Consumers acceptance of artificially intelligent (AI) device use in service delivery. </w:t>
      </w:r>
      <w:r>
        <w:rPr>
          <w:rFonts w:ascii="Times New Roman" w:cs="Times New Roman" w:hAnsi="Times New Roman"/>
          <w:b w:val="false"/>
          <w:bCs w:val="false"/>
          <w:i/>
          <w:iCs/>
          <w:sz w:val="24"/>
          <w:szCs w:val="24"/>
          <w:rtl w:val="false"/>
        </w:rPr>
        <w:t xml:space="preserve">International Journal of Information Management, 49</w:t>
      </w:r>
      <w:r>
        <w:rPr>
          <w:rFonts w:ascii="Times New Roman" w:cs="Times New Roman" w:hAnsi="Times New Roman"/>
          <w:b w:val="false"/>
          <w:bCs w:val="false"/>
          <w:i w:val="false"/>
          <w:iCs w:val="false"/>
          <w:sz w:val="24"/>
          <w:szCs w:val="24"/>
          <w:rtl w:val="false"/>
        </w:rPr>
        <w:t xml:space="preserve">, 157-169. https://doi.org/10.1016/j.ijinfomgt.2019.03.008</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Holmes, W., &amp; Miao, F. (2023). </w:t>
      </w:r>
      <w:r>
        <w:rPr>
          <w:rFonts w:ascii="Times New Roman" w:cs="Times New Roman" w:hAnsi="Times New Roman"/>
          <w:b w:val="false"/>
          <w:bCs w:val="false"/>
          <w:i/>
          <w:iCs/>
          <w:sz w:val="24"/>
          <w:szCs w:val="24"/>
          <w:rtl w:val="false"/>
        </w:rPr>
        <w:t xml:space="preserve">Guidance for generative AI in education and research</w:t>
      </w:r>
      <w:r>
        <w:rPr>
          <w:rFonts w:ascii="Times New Roman" w:cs="Times New Roman" w:hAnsi="Times New Roman"/>
          <w:b w:val="false"/>
          <w:bCs w:val="false"/>
          <w:i w:val="false"/>
          <w:iCs w:val="false"/>
          <w:sz w:val="24"/>
          <w:szCs w:val="24"/>
          <w:rtl w:val="false"/>
        </w:rPr>
        <w:t xml:space="preserve">. UNESCO Publishing.</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Kohnke, L., Moorhouse, B. L., &amp; Zou, D. (2023). ChatGPT for language teaching and learning. </w:t>
      </w:r>
      <w:r>
        <w:rPr>
          <w:rFonts w:ascii="Times New Roman" w:cs="Times New Roman" w:hAnsi="Times New Roman"/>
          <w:b w:val="false"/>
          <w:bCs w:val="false"/>
          <w:i/>
          <w:iCs/>
          <w:sz w:val="24"/>
          <w:szCs w:val="24"/>
          <w:rtl w:val="false"/>
        </w:rPr>
        <w:t xml:space="preserve">RELC Journal, 54</w:t>
      </w:r>
      <w:r>
        <w:rPr>
          <w:rFonts w:ascii="David" w:cs="David" w:hAnsi="David"/>
          <w:b w:val="false"/>
          <w:bCs w:val="false"/>
          <w:i w:val="false"/>
          <w:iCs w:val="false"/>
          <w:sz w:val="24"/>
          <w:szCs w:val="24"/>
          <w:rtl/>
        </w:rPr>
        <w:t xml:space="preserve">(2), 537-550.</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Krashen, S. D. (1982). </w:t>
      </w:r>
      <w:r>
        <w:rPr>
          <w:rFonts w:ascii="Times New Roman" w:cs="Times New Roman" w:hAnsi="Times New Roman"/>
          <w:b w:val="false"/>
          <w:bCs w:val="false"/>
          <w:i/>
          <w:iCs/>
          <w:sz w:val="24"/>
          <w:szCs w:val="24"/>
          <w:rtl w:val="false"/>
        </w:rPr>
        <w:t xml:space="preserve">Principles and practice in second language acquisition</w:t>
      </w:r>
      <w:r>
        <w:rPr>
          <w:rFonts w:ascii="Times New Roman" w:cs="Times New Roman" w:hAnsi="Times New Roman"/>
          <w:b w:val="false"/>
          <w:bCs w:val="false"/>
          <w:i w:val="false"/>
          <w:iCs w:val="false"/>
          <w:sz w:val="24"/>
          <w:szCs w:val="24"/>
          <w:rtl w:val="false"/>
        </w:rPr>
        <w:t xml:space="preserve">. Pergamon Press.</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Li, J., &amp; Huang, J.-S. (2020). Dimensions of artificial intelligence anxiety based on the integrated fear acquisition theory. </w:t>
      </w:r>
      <w:r>
        <w:rPr>
          <w:rFonts w:ascii="Times New Roman" w:cs="Times New Roman" w:hAnsi="Times New Roman"/>
          <w:b w:val="false"/>
          <w:bCs w:val="false"/>
          <w:i/>
          <w:iCs/>
          <w:sz w:val="24"/>
          <w:szCs w:val="24"/>
          <w:rtl w:val="false"/>
        </w:rPr>
        <w:t xml:space="preserve">Technology in Society, 63</w:t>
      </w:r>
      <w:r>
        <w:rPr>
          <w:rFonts w:ascii="Times New Roman" w:cs="Times New Roman" w:hAnsi="Times New Roman"/>
          <w:b w:val="false"/>
          <w:bCs w:val="false"/>
          <w:i w:val="false"/>
          <w:iCs w:val="false"/>
          <w:sz w:val="24"/>
          <w:szCs w:val="24"/>
          <w:rtl w:val="false"/>
        </w:rPr>
        <w:t xml:space="preserve">, Article 101410. https://doi.org/10.1016/j.techsoc.2020.101410</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Ministry of Education. (2020). </w:t>
      </w:r>
      <w:r>
        <w:rPr>
          <w:rFonts w:ascii="Times New Roman" w:cs="Times New Roman" w:hAnsi="Times New Roman"/>
          <w:b w:val="false"/>
          <w:bCs w:val="false"/>
          <w:i/>
          <w:iCs/>
          <w:sz w:val="24"/>
          <w:szCs w:val="24"/>
          <w:rtl w:val="false"/>
        </w:rPr>
        <w:t xml:space="preserve">English curriculum 2020: Principles and standards for learning English as an international language for all grades</w:t>
      </w:r>
      <w:r>
        <w:rPr>
          <w:rFonts w:ascii="Times New Roman" w:cs="Times New Roman" w:hAnsi="Times New Roman"/>
          <w:b w:val="false"/>
          <w:bCs w:val="false"/>
          <w:i w:val="false"/>
          <w:iCs w:val="false"/>
          <w:sz w:val="24"/>
          <w:szCs w:val="24"/>
          <w:rtl w:val="false"/>
        </w:rPr>
        <w:t xml:space="preserve">. State of Israel, Ministry of Education.</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Mishra, P. (2019). Considering contextual knowledge: The TPACK diagram gets an upgrade. </w:t>
      </w:r>
      <w:r>
        <w:rPr>
          <w:rFonts w:ascii="Times New Roman" w:cs="Times New Roman" w:hAnsi="Times New Roman"/>
          <w:b w:val="false"/>
          <w:bCs w:val="false"/>
          <w:i/>
          <w:iCs/>
          <w:sz w:val="24"/>
          <w:szCs w:val="24"/>
          <w:rtl w:val="false"/>
        </w:rPr>
        <w:t xml:space="preserve">Journal of Digital Learning in Teacher Education, 35</w:t>
      </w:r>
      <w:r>
        <w:rPr>
          <w:rFonts w:ascii="Times New Roman" w:cs="Times New Roman" w:hAnsi="Times New Roman"/>
          <w:b w:val="false"/>
          <w:bCs w:val="false"/>
          <w:i w:val="false"/>
          <w:iCs w:val="false"/>
          <w:sz w:val="24"/>
          <w:szCs w:val="24"/>
          <w:rtl w:val="false"/>
        </w:rPr>
        <w:t xml:space="preserve">(2), 76-78. https://doi.org/10.1080/21532974.2019.1588611</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Mishra, P., &amp; Koehler, M. J. (2009). Too cool for school? No way! Using the TPACK framework: You can have your hot tools and teach with them, too. </w:t>
      </w:r>
      <w:r>
        <w:rPr>
          <w:rFonts w:ascii="Times New Roman" w:cs="Times New Roman" w:hAnsi="Times New Roman"/>
          <w:b w:val="false"/>
          <w:bCs w:val="false"/>
          <w:i/>
          <w:iCs/>
          <w:sz w:val="24"/>
          <w:szCs w:val="24"/>
          <w:rtl w:val="false"/>
        </w:rPr>
        <w:t xml:space="preserve">Learning &amp; Leading with Technology, 36</w:t>
      </w:r>
      <w:r>
        <w:rPr>
          <w:rFonts w:ascii="David" w:cs="David" w:hAnsi="David"/>
          <w:b w:val="false"/>
          <w:bCs w:val="false"/>
          <w:i w:val="false"/>
          <w:iCs w:val="false"/>
          <w:sz w:val="24"/>
          <w:szCs w:val="24"/>
          <w:rtl/>
        </w:rPr>
        <w:t xml:space="preserve">(7), 14-18.</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Mishra, P., Warr, M., &amp; Islam, R. (2023). TPACK in the age of ChatGPT and Generative AI. </w:t>
      </w:r>
      <w:r>
        <w:rPr>
          <w:rFonts w:ascii="Times New Roman" w:cs="Times New Roman" w:hAnsi="Times New Roman"/>
          <w:b w:val="false"/>
          <w:bCs w:val="false"/>
          <w:i/>
          <w:iCs/>
          <w:sz w:val="24"/>
          <w:szCs w:val="24"/>
          <w:rtl w:val="false"/>
        </w:rPr>
        <w:t xml:space="preserve">Journal of Digital Learning in Teacher Education, 39</w:t>
      </w:r>
      <w:r>
        <w:rPr>
          <w:rFonts w:ascii="Times New Roman" w:cs="Times New Roman" w:hAnsi="Times New Roman"/>
          <w:b w:val="false"/>
          <w:bCs w:val="false"/>
          <w:i w:val="false"/>
          <w:iCs w:val="false"/>
          <w:sz w:val="24"/>
          <w:szCs w:val="24"/>
          <w:rtl w:val="false"/>
        </w:rPr>
        <w:t xml:space="preserve">(4), 235-250. https://doi.org/10.1080/21532974.2023.2247480</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Ng, D. T. K., Leung, J. K. L., Chu, K. W. S., &amp; Qiao, M. S. (2021). AI literacy: Definition, teaching, evaluation and ethical issues. </w:t>
      </w:r>
      <w:r>
        <w:rPr>
          <w:rFonts w:ascii="Times New Roman" w:cs="Times New Roman" w:hAnsi="Times New Roman"/>
          <w:b w:val="false"/>
          <w:bCs w:val="false"/>
          <w:i/>
          <w:iCs/>
          <w:sz w:val="24"/>
          <w:szCs w:val="24"/>
          <w:rtl w:val="false"/>
        </w:rPr>
        <w:t xml:space="preserve">Proceedings of the Association for Information Science and Technology, 58</w:t>
      </w:r>
      <w:r>
        <w:rPr>
          <w:rFonts w:ascii="David" w:cs="David" w:hAnsi="David"/>
          <w:b w:val="false"/>
          <w:bCs w:val="false"/>
          <w:i w:val="false"/>
          <w:iCs w:val="false"/>
          <w:sz w:val="24"/>
          <w:szCs w:val="24"/>
          <w:rtl/>
        </w:rPr>
        <w:t xml:space="preserve">(1), 504-509.</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OECD. (2019). </w:t>
      </w:r>
      <w:r>
        <w:rPr>
          <w:rFonts w:ascii="Times New Roman" w:cs="Times New Roman" w:hAnsi="Times New Roman"/>
          <w:b w:val="false"/>
          <w:bCs w:val="false"/>
          <w:i/>
          <w:iCs/>
          <w:sz w:val="24"/>
          <w:szCs w:val="24"/>
          <w:rtl w:val="false"/>
        </w:rPr>
        <w:t xml:space="preserve">OECD future of education and skills 2030: OECD learning compass 2030. A series of concept notes</w:t>
      </w:r>
      <w:r>
        <w:rPr>
          <w:rFonts w:ascii="Times New Roman" w:cs="Times New Roman" w:hAnsi="Times New Roman"/>
          <w:b w:val="false"/>
          <w:bCs w:val="false"/>
          <w:i w:val="false"/>
          <w:iCs w:val="false"/>
          <w:sz w:val="24"/>
          <w:szCs w:val="24"/>
          <w:rtl w:val="false"/>
        </w:rPr>
        <w:t xml:space="preserve">. OECD Publishing.</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Prensky, M. (2008). The role of technology in teaching and the classroom. </w:t>
      </w:r>
      <w:r>
        <w:rPr>
          <w:rFonts w:ascii="Times New Roman" w:cs="Times New Roman" w:hAnsi="Times New Roman"/>
          <w:b w:val="false"/>
          <w:bCs w:val="false"/>
          <w:i/>
          <w:iCs/>
          <w:sz w:val="24"/>
          <w:szCs w:val="24"/>
          <w:rtl w:val="false"/>
        </w:rPr>
        <w:t xml:space="preserve">Educational Technology, 48</w:t>
      </w:r>
      <w:r>
        <w:rPr>
          <w:rFonts w:ascii="David" w:cs="David" w:hAnsi="David"/>
          <w:b w:val="false"/>
          <w:bCs w:val="false"/>
          <w:i w:val="false"/>
          <w:iCs w:val="false"/>
          <w:sz w:val="24"/>
          <w:szCs w:val="24"/>
          <w:rtl/>
        </w:rPr>
        <w:t xml:space="preserve">(6), 1-3.</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Puentedura, R. R. (2006). </w:t>
      </w:r>
      <w:r>
        <w:rPr>
          <w:rFonts w:ascii="Times New Roman" w:cs="Times New Roman" w:hAnsi="Times New Roman"/>
          <w:b w:val="false"/>
          <w:bCs w:val="false"/>
          <w:i/>
          <w:iCs/>
          <w:sz w:val="24"/>
          <w:szCs w:val="24"/>
          <w:rtl w:val="false"/>
        </w:rPr>
        <w:t xml:space="preserve">Transformation, technology, and education</w:t>
      </w:r>
      <w:r>
        <w:rPr>
          <w:rFonts w:ascii="Times New Roman" w:cs="Times New Roman" w:hAnsi="Times New Roman"/>
          <w:b w:val="false"/>
          <w:bCs w:val="false"/>
          <w:i w:val="false"/>
          <w:iCs w:val="false"/>
          <w:sz w:val="24"/>
          <w:szCs w:val="24"/>
          <w:rtl w:val="false"/>
        </w:rPr>
        <w:t xml:space="preserve"> [Blog post]. Hippasus. http://hippasus.com/resources/tte/</w:t>
      </w:r>
    </w:p>
    <w:p>
      <w:pPr>
        <w:bidi w:val="false"/>
        <w:spacing w:after="120" w:line="480" w:lineRule="auto"/>
        <w:ind w:left="709" w:hanging="709"/>
        <w:jc w:val="left"/>
      </w:pPr>
      <w:r>
        <w:rPr>
          <w:rFonts w:ascii="Times New Roman" w:cs="Times New Roman" w:hAnsi="Times New Roman"/>
          <w:b w:val="false"/>
          <w:bCs w:val="false"/>
          <w:i w:val="false"/>
          <w:iCs w:val="false"/>
          <w:sz w:val="24"/>
          <w:szCs w:val="24"/>
          <w:rtl w:val="false"/>
        </w:rPr>
        <w:t xml:space="preserve">Wang, X., Li, L., Tan, S. C., Yang, L., &amp; Lei, J. (2023). Preparing for AI-enhanced education: Conceptualizing and empirically examining teachers' AI readiness. </w:t>
      </w:r>
      <w:r>
        <w:rPr>
          <w:rFonts w:ascii="Times New Roman" w:cs="Times New Roman" w:hAnsi="Times New Roman"/>
          <w:b w:val="false"/>
          <w:bCs w:val="false"/>
          <w:i/>
          <w:iCs/>
          <w:sz w:val="24"/>
          <w:szCs w:val="24"/>
          <w:rtl w:val="false"/>
        </w:rPr>
        <w:t xml:space="preserve">Computers in Human Behavior, 146</w:t>
      </w:r>
      <w:r>
        <w:rPr>
          <w:rFonts w:ascii="Times New Roman" w:cs="Times New Roman" w:hAnsi="Times New Roman"/>
          <w:b w:val="false"/>
          <w:bCs w:val="false"/>
          <w:i w:val="false"/>
          <w:iCs w:val="false"/>
          <w:sz w:val="24"/>
          <w:szCs w:val="24"/>
          <w:rtl w:val="false"/>
        </w:rPr>
        <w:t xml:space="preserve">, Article 107798.</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2026-08-20T07:18:43.284Z</dcterms:created>
  <dcterms:modified xsi:type="dcterms:W3CDTF">2026-08-20T07:18:43.284Z</dcterms:modified>
</cp:coreProperties>
</file>

<file path=docProps/custom.xml><?xml version="1.0" encoding="utf-8"?>
<Properties xmlns="http://schemas.openxmlformats.org/officeDocument/2006/custom-properties" xmlns:vt="http://schemas.openxmlformats.org/officeDocument/2006/docPropsVTypes"/>
</file>