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highlight w:val="yellow"/>
        </w:rPr>
        <w:t>[להדביק כאן את נוסח הצהרת המקוריות הרשמי מאתר הקורס, כלשונו.]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2835"/>
            <w:shd w:val="clear" w:color="auto" w:fill="D9D9D9"/>
          </w:tcPr>
          <w:p>
            <w:pPr>
              <w:spacing w:line="276" w:lineRule="auto" w:after="40"/>
              <w:jc w:val="right"/>
            </w:pPr>
            <w:r>
              <w:rPr>
                <w:b/>
                <w:bCs/>
                <w:i w:val="0"/>
                <w:noProof/>
                <w:sz w:val="22"/>
                <w:szCs w:val="22"/>
              </w:rPr>
              <w:t>שם</w:t>
            </w:r>
          </w:p>
        </w:tc>
        <w:tc>
          <w:tcPr>
            <w:tcW w:type="dxa" w:w="1984"/>
            <w:shd w:val="clear" w:color="auto" w:fill="D9D9D9"/>
          </w:tcPr>
          <w:p>
            <w:pPr>
              <w:spacing w:line="276" w:lineRule="auto" w:after="40"/>
              <w:jc w:val="right"/>
            </w:pPr>
            <w:r>
              <w:rPr>
                <w:b/>
                <w:bCs/>
                <w:i w:val="0"/>
                <w:noProof/>
                <w:sz w:val="22"/>
                <w:szCs w:val="22"/>
              </w:rPr>
              <w:t>ת"ז</w:t>
            </w:r>
          </w:p>
        </w:tc>
        <w:tc>
          <w:tcPr>
            <w:tcW w:type="dxa" w:w="2268"/>
            <w:shd w:val="clear" w:color="auto" w:fill="D9D9D9"/>
          </w:tcPr>
          <w:p>
            <w:pPr>
              <w:spacing w:line="276" w:lineRule="auto" w:after="40"/>
              <w:jc w:val="right"/>
            </w:pPr>
            <w:r>
              <w:rPr>
                <w:b/>
                <w:bCs/>
                <w:i w:val="0"/>
                <w:noProof/>
                <w:sz w:val="22"/>
                <w:szCs w:val="22"/>
              </w:rPr>
              <w:t>חתימה</w:t>
            </w:r>
          </w:p>
        </w:tc>
        <w:tc>
          <w:tcPr>
            <w:tcW w:type="dxa" w:w="1984"/>
            <w:shd w:val="clear" w:color="auto" w:fill="D9D9D9"/>
          </w:tcPr>
          <w:p>
            <w:pPr>
              <w:spacing w:line="276" w:lineRule="auto" w:after="40"/>
              <w:jc w:val="right"/>
            </w:pPr>
            <w:r>
              <w:rPr>
                <w:b/>
                <w:bCs/>
                <w:i w:val="0"/>
                <w:noProof/>
                <w:sz w:val="22"/>
                <w:szCs w:val="22"/>
              </w:rPr>
              <w:t>תאריך</w:t>
            </w:r>
          </w:p>
        </w:tc>
      </w:tr>
      <w:tr>
        <w:tc>
          <w:tcPr>
            <w:tcW w:type="dxa" w:w="2835"/>
          </w:tcPr>
          <w:p>
            <w:pPr>
              <w:spacing w:line="276" w:lineRule="auto" w:after="40"/>
              <w:jc w:val="right"/>
            </w:pPr>
            <w:r>
              <w:rPr>
                <w:b w:val="0"/>
                <w:i w:val="0"/>
                <w:noProof/>
                <w:sz w:val="22"/>
                <w:szCs w:val="22"/>
              </w:rPr>
              <w:t>רואן לוקמאן ביאטרה</w:t>
            </w:r>
          </w:p>
        </w:tc>
        <w:tc>
          <w:tcPr>
            <w:tcW w:type="dxa" w:w="1984"/>
          </w:tcPr>
          <w:p>
            <w:pPr>
              <w:spacing w:line="276" w:lineRule="auto" w:after="40"/>
              <w:jc w:val="right"/>
            </w:pPr>
            <w:r>
              <w:rPr>
                <w:b w:val="0"/>
                <w:i w:val="0"/>
                <w:noProof/>
                <w:sz w:val="22"/>
                <w:szCs w:val="22"/>
              </w:rPr>
              <w:t>300869781</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r>
        <w:tc>
          <w:tcPr>
            <w:tcW w:type="dxa" w:w="2835"/>
          </w:tcPr>
          <w:p>
            <w:pPr>
              <w:spacing w:line="276" w:lineRule="auto" w:after="40"/>
              <w:jc w:val="right"/>
            </w:pPr>
            <w:r>
              <w:rPr>
                <w:b w:val="0"/>
                <w:i w:val="0"/>
                <w:noProof/>
                <w:sz w:val="22"/>
                <w:szCs w:val="22"/>
              </w:rPr>
              <w:t>מריאן אבו־ח'לא</w:t>
            </w:r>
          </w:p>
        </w:tc>
        <w:tc>
          <w:tcPr>
            <w:tcW w:type="dxa" w:w="1984"/>
          </w:tcPr>
          <w:p>
            <w:pPr>
              <w:spacing w:line="276" w:lineRule="auto" w:after="40"/>
              <w:jc w:val="right"/>
            </w:pPr>
            <w:r>
              <w:rPr>
                <w:b w:val="0"/>
                <w:i w:val="0"/>
                <w:noProof/>
                <w:sz w:val="22"/>
                <w:szCs w:val="22"/>
              </w:rPr>
              <w:t>211584644</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r>
        <w:tc>
          <w:tcPr>
            <w:tcW w:type="dxa" w:w="2835"/>
          </w:tcPr>
          <w:p>
            <w:pPr>
              <w:spacing w:line="276" w:lineRule="auto" w:after="40"/>
              <w:jc w:val="right"/>
            </w:pPr>
            <w:r>
              <w:rPr>
                <w:b w:val="0"/>
                <w:i w:val="0"/>
                <w:noProof/>
                <w:sz w:val="22"/>
                <w:szCs w:val="22"/>
              </w:rPr>
              <w:t>עביר בדיר</w:t>
            </w:r>
          </w:p>
        </w:tc>
        <w:tc>
          <w:tcPr>
            <w:tcW w:type="dxa" w:w="1984"/>
          </w:tcPr>
          <w:p>
            <w:pPr>
              <w:spacing w:line="276" w:lineRule="auto" w:after="40"/>
              <w:jc w:val="right"/>
            </w:pPr>
            <w:r>
              <w:rPr>
                <w:b w:val="0"/>
                <w:i w:val="0"/>
                <w:noProof/>
                <w:sz w:val="22"/>
                <w:szCs w:val="22"/>
              </w:rPr>
              <w:t>034387365</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bl>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ארבעה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כ־400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רנא (שם בדוי)</w:t>
            </w:r>
          </w:p>
        </w:tc>
        <w:tc>
          <w:tcPr>
            <w:tcW w:type="dxa" w:w="3061"/>
          </w:tcPr>
          <w:p>
            <w:pPr>
              <w:spacing w:line="276" w:lineRule="auto" w:after="40"/>
              <w:jc w:val="right"/>
            </w:pPr>
            <w:r>
              <w:rPr>
                <w:b w:val="0"/>
                <w:i w:val="0"/>
                <w:noProof/>
                <w:sz w:val="22"/>
                <w:szCs w:val="22"/>
              </w:rPr>
              <w:t>מנהלת חטיבת ביניים ממלכתית בעיר ערבית בדרום, כ־300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כ־320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r>
        <w:tc>
          <w:tcPr>
            <w:tcW w:type="dxa" w:w="1701"/>
          </w:tcPr>
          <w:p>
            <w:pPr>
              <w:spacing w:line="276" w:lineRule="auto" w:after="40"/>
              <w:jc w:val="right"/>
            </w:pPr>
            <w:r>
              <w:rPr>
                <w:b w:val="0"/>
                <w:i w:val="0"/>
                <w:noProof/>
                <w:sz w:val="22"/>
                <w:szCs w:val="22"/>
              </w:rPr>
              <w:t>אמאני (שם בדוי)</w:t>
            </w:r>
          </w:p>
        </w:tc>
        <w:tc>
          <w:tcPr>
            <w:tcW w:type="dxa" w:w="3061"/>
          </w:tcPr>
          <w:p>
            <w:pPr>
              <w:spacing w:line="276" w:lineRule="auto" w:after="40"/>
              <w:jc w:val="right"/>
            </w:pPr>
            <w:r>
              <w:rPr>
                <w:b w:val="0"/>
                <w:i w:val="0"/>
                <w:noProof/>
                <w:sz w:val="22"/>
                <w:szCs w:val="22"/>
              </w:rPr>
              <w:t>מנהלת חטיבת ביניים ממלכתית בבאקה אל־גרבייה, כ־300 תלמידים</w:t>
            </w:r>
          </w:p>
        </w:tc>
        <w:tc>
          <w:tcPr>
            <w:tcW w:type="dxa" w:w="1871"/>
          </w:tcPr>
          <w:p>
            <w:pPr>
              <w:spacing w:line="276" w:lineRule="auto" w:after="40"/>
              <w:jc w:val="right"/>
            </w:pPr>
            <w:r>
              <w:rPr>
                <w:b w:val="0"/>
                <w:i w:val="0"/>
                <w:noProof/>
                <w:sz w:val="22"/>
                <w:szCs w:val="22"/>
              </w:rPr>
              <w:t>22 שנים בחינוך, 6 כמנהלת</w:t>
            </w:r>
          </w:p>
        </w:tc>
        <w:tc>
          <w:tcPr>
            <w:tcW w:type="dxa" w:w="2438"/>
          </w:tcPr>
          <w:p>
            <w:pPr>
              <w:spacing w:line="276" w:lineRule="auto" w:after="40"/>
              <w:jc w:val="right"/>
            </w:pPr>
            <w:r>
              <w:rPr>
                <w:b w:val="0"/>
                <w:i w:val="0"/>
                <w:noProof/>
                <w:sz w:val="22"/>
                <w:szCs w:val="22"/>
              </w:rPr>
              <w:t>העירייה והקב"ט, המפקחת, ועד ההורים, ועד המורים, תלמידים</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ארבעת בתי הספר הם בתי ספר ממלכתיים במגזר הערבי, בבעלות רשות מקומית, והם פועלים בהקשרים שונים: שניים במשולש ושניים בדרום. בית הספר של סמיר הוא בית ספר יסודי בטייבה, עם כחמישים ושניים עובדים. הוא נבנה לשלוש מאות תלמידים ולומדים בו כארבע מאות, שתי כיתות נמצאות בקרוונים ואין בו חדר מדעים. בית הספר של רנא הוא חטיבת ביניים בעיר ערבית בדרום,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 בית הספר של אמאני הוא חטיבת ביניים בבאקה אל־גרבייה עם שמונה עשרה כיתות, שתיים מהן בחינוך המיוחד, וכשישים וחמישה עובדי הוראה. העירייה פועלת תחת תוכנית הבראה, ולדברי אמאני יש בעיר "הרבה אהבה לחינוך ומעט מאוד תקציב".</w:t>
      </w:r>
    </w:p>
    <w:p>
      <w:r>
        <w:rPr>
          <w:b w:val="0"/>
          <w:i w:val="0"/>
          <w:noProof/>
        </w:rPr>
        <w:t>בכל ארבעת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רנא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כל ארבעת המנהלים פותחים כל שנה עם משרות לא מאוישות, בעיקר באנגלית, במתמטיקה ובמדעים. רנא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 אמאני סיפרה שהחוק נגע בשניים מהמורים שלה, ועד שהתבהר מה מותר איבדה אחד מהם.</w:t>
      </w:r>
    </w:p>
    <w:p>
      <w:r>
        <w:rPr>
          <w:b/>
          <w:bCs/>
          <w:i w:val="0"/>
          <w:noProof/>
        </w:rPr>
        <w:t>ביטחון אישי:</w:t>
      </w:r>
      <w:r>
        <w:rPr>
          <w:b w:val="0"/>
          <w:i w:val="0"/>
          <w:noProof/>
        </w:rPr>
        <w:t xml:space="preserve"> אמאני תיארה אתגר שלא עלה בראיונות האחרים: האלימות והפשיעה בחברה הערבית. בשנתיים האחרונות היו אירועי ירי במרחק מאות מטרים מבית הספר, ולדבריה "ילדים בכיתה ח' יודעים להגיד איזה רעש הוא זיקוק ואיזה הוא ירי". הפחד משפיע על הנוכחות, על נכונות מורים מערים אחרות להגיע, ועל האקלים בכיתות.</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הוא תהליך אינטראקטיבי שבו מתגלים חוסר הלימה, אי־הסכמה או סתירה בין צדדים שתלויים זה בזה (Rahim, 2002).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(רנא)</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(רנא)</w:t>
            </w:r>
          </w:p>
        </w:tc>
      </w:tr>
      <w:tr>
        <w:tc>
          <w:tcPr>
            <w:tcW w:type="dxa" w:w="1814"/>
          </w:tcPr>
          <w:p>
            <w:pPr>
              <w:spacing w:line="276" w:lineRule="auto" w:after="40"/>
              <w:jc w:val="right"/>
            </w:pPr>
            <w:r>
              <w:rPr>
                <w:b w:val="0"/>
                <w:i w:val="0"/>
                <w:noProof/>
                <w:sz w:val="22"/>
                <w:szCs w:val="22"/>
              </w:rPr>
              <w:t>המשטרה וקב"ט העירייה</w:t>
            </w:r>
          </w:p>
        </w:tc>
        <w:tc>
          <w:tcPr>
            <w:tcW w:type="dxa" w:w="2381"/>
          </w:tcPr>
          <w:p>
            <w:pPr>
              <w:spacing w:line="276" w:lineRule="auto" w:after="40"/>
              <w:jc w:val="right"/>
            </w:pPr>
            <w:r>
              <w:rPr>
                <w:b w:val="0"/>
                <w:i w:val="0"/>
                <w:noProof/>
                <w:sz w:val="22"/>
                <w:szCs w:val="22"/>
              </w:rPr>
              <w:t>אבטחה, נוהל לשעת אירוע</w:t>
            </w:r>
          </w:p>
        </w:tc>
        <w:tc>
          <w:tcPr>
            <w:tcW w:type="dxa" w:w="2041"/>
          </w:tcPr>
          <w:p>
            <w:pPr>
              <w:spacing w:line="276" w:lineRule="auto" w:after="40"/>
              <w:jc w:val="right"/>
            </w:pPr>
            <w:r>
              <w:rPr>
                <w:b w:val="0"/>
                <w:i w:val="0"/>
                <w:noProof/>
                <w:sz w:val="22"/>
                <w:szCs w:val="22"/>
              </w:rPr>
              <w:t>סמכות וקריטריונים לאבטחה</w:t>
            </w:r>
          </w:p>
        </w:tc>
        <w:tc>
          <w:tcPr>
            <w:tcW w:type="dxa" w:w="2835"/>
          </w:tcPr>
          <w:p>
            <w:pPr>
              <w:spacing w:line="276" w:lineRule="auto" w:after="40"/>
              <w:jc w:val="right"/>
            </w:pPr>
            <w:r>
              <w:rPr>
                <w:b w:val="0"/>
                <w:i w:val="0"/>
                <w:noProof/>
                <w:sz w:val="22"/>
                <w:szCs w:val="22"/>
              </w:rPr>
              <w:t>"גורמים שאני לא בחרתי בהם" (אמאני)</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כל המסגרות נלמדו בקורס, ובסוף הסקירה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(רייכרד, 2019).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(Lewicki et al., 1999).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(פישר ואחרים, 2013).</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שאלון TKI, שמולאה בקורס, מבוסס על אותו היגיון (Rahim, 1983).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דילמת האסיר, שהוצגה בקורס, מראה מצב שבו התנהגות רציונלית לחלוטין מנקודת המבט של כל צד מובילה לתוצאה שאינה אופטימלית לשניהם (רייכרד, 2019). הקורס הדגיש גם ממצא נוסף: אנשים אינם פועלים רק משיקולים רציונליים אלא גם משיקולי הוגנות, ודוחים הצעה שנתפסת בעיניהם כמעליבה גם כאשר הדחייה עולה להם (רייכרד, 2019).</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(Lewicki et al., 1999).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(פישר ואחרים, 2013; Lewicki et al., 1999).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רנא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רנא,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ורנא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לרנא היה חשוב ההרתעה, ולחברה היה חשוב שלא ייווצר תקדים של קנס. הזיכוי סיפק את שני האינטרסים, או כלשונה של רנא:</w:t>
      </w:r>
    </w:p>
    <w:p>
      <w:pPr>
        <w:ind w:right="709" w:left="709"/>
      </w:pPr>
      <w:r>
        <w:rPr>
          <w:b w:val="0"/>
          <w:i w:val="0"/>
          <w:noProof/>
        </w:rPr>
        <w:t>מבחינת התוצאה זה בדיוק מה שרציתי, ומבחינת המילים זה מה שהם היו צריכים.</w:t>
      </w:r>
    </w:p>
    <w:p>
      <w:r>
        <w:rPr>
          <w:b w:val="0"/>
          <w:i w:val="0"/>
          <w:noProof/>
        </w:rPr>
        <w:t>רנא עצמה מציינת שהתזמון פגע בה: הלחץ של יולי היה גם עליה, ולדעתה חודש נוסף היה מביא אותה ל־7%. מכאן שה־BATNA, החלופה הטובה ביותר להסכם (פישר ואחרים, 2013),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רנא מול צוות המורים על ההוראה בזמן המלחמה</w:t>
      </w:r>
    </w:p>
    <w:p>
      <w:r>
        <w:rPr>
          <w:b w:val="0"/>
          <w:i w:val="0"/>
          <w:noProof/>
        </w:rPr>
        <w:t>כשבית הספר עבר למתכונת חלקית, רנא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רנא,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שרנא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העיקרון הראשון במודל (פישר ואחרים, 2013), התרחשה במקרה, בערב שבו רנא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מקרים דרך שתי תיאוריות נוספות. דוגמאות 7, 8 ו־10 הן מקרים חדשים מהראיונות, ודוגמה 9 בוחנת מחדש את מקרה ההסעות (דוגמה 5) מזווית תיאורטית אחרת.</w:t>
      </w:r>
    </w:p>
    <w:p>
      <w:pPr>
        <w:pStyle w:val="Heading3"/>
      </w:pPr>
      <w:r>
        <w:rPr>
          <w:noProof/>
        </w:rPr>
        <w:t>דוגמה 7: רנא מול מורים בתקופת מחסור במורים</w:t>
      </w:r>
    </w:p>
    <w:p>
      <w:r>
        <w:rPr>
          <w:b w:val="0"/>
          <w:i w:val="0"/>
          <w:noProof/>
        </w:rPr>
        <w:t>רנא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רנא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רנא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(רייכרד, 2019).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(רייכרד, 2019). רנא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אמאני מול העירייה, המשרד וועד ההורים על אבטחת בית הספר</w:t>
      </w:r>
    </w:p>
    <w:p>
      <w:r>
        <w:rPr>
          <w:b w:val="0"/>
          <w:i w:val="0"/>
          <w:noProof/>
        </w:rPr>
        <w:t>אחרי אירוע ירי ברחוב הסמוך בשעת הפסקה הגיעו למחרת פחות ממחצית התלמידים, וועד ההורים הודיע שההורים לא ישלחו ילדים עד שיהיו שומר, גדר תקינה ומצלמות. אמאני דרשה מהעירייה שומר בשער, תיקון מיידי של הגדר, מצלמות ונוהל לשעת אירוע. העירייה, שנמצאת בתוכנית הבראה, טענה שאין תקן לשומר. הקב"ט העירוני אמר שזה עניין של המשטרה, והמשטרה אמרה שהיא לא מאבטחת בתי ספר.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העירייה (מחלקת החינוך והקב"ט)</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שמתחבא מאחורי תוכנית ההבראה"</w:t>
            </w:r>
          </w:p>
        </w:tc>
        <w:tc>
          <w:tcPr>
            <w:tcW w:type="dxa" w:w="3685"/>
          </w:tcPr>
          <w:p>
            <w:pPr>
              <w:spacing w:line="276" w:lineRule="auto" w:after="40"/>
              <w:jc w:val="right"/>
            </w:pPr>
            <w:r>
              <w:rPr>
                <w:b w:val="0"/>
                <w:i w:val="0"/>
                <w:noProof/>
                <w:sz w:val="22"/>
                <w:szCs w:val="22"/>
              </w:rPr>
              <w:t>מנהלת "שמנצלת אירוע כדי להוציא תקציב שרצתה מזמן"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שומר בשער, גדר, מצלמות, נוהל</w:t>
            </w:r>
          </w:p>
        </w:tc>
        <w:tc>
          <w:tcPr>
            <w:tcW w:type="dxa" w:w="3685"/>
          </w:tcPr>
          <w:p>
            <w:pPr>
              <w:spacing w:line="276" w:lineRule="auto" w:after="40"/>
              <w:jc w:val="right"/>
            </w:pPr>
            <w:r>
              <w:rPr>
                <w:b w:val="0"/>
                <w:i w:val="0"/>
                <w:noProof/>
                <w:sz w:val="22"/>
                <w:szCs w:val="22"/>
              </w:rPr>
              <w:t>אין תקן; הגדר "במסגרת התחזוקה השוטפת"; "זה של המשטרה"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ביטחון התלמידים, החזרת הנוכחות, אמון ההורים</w:t>
            </w:r>
          </w:p>
        </w:tc>
        <w:tc>
          <w:tcPr>
            <w:tcW w:type="dxa" w:w="3685"/>
          </w:tcPr>
          <w:p>
            <w:pPr>
              <w:spacing w:line="276" w:lineRule="auto" w:after="40"/>
              <w:jc w:val="right"/>
            </w:pPr>
            <w:r>
              <w:rPr>
                <w:b w:val="0"/>
                <w:i w:val="0"/>
                <w:noProof/>
                <w:sz w:val="22"/>
                <w:szCs w:val="22"/>
              </w:rPr>
              <w:t>לא להוסיף הוצאה קבועה שהחשב המלווה לא יאשר, ולא לפתוח דרישה משבעה בתי ספר נוספים</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תיאום עם שביתת ההורים</w:t>
            </w:r>
          </w:p>
        </w:tc>
        <w:tc>
          <w:tcPr>
            <w:tcW w:type="dxa" w:w="3685"/>
          </w:tcPr>
          <w:p>
            <w:pPr>
              <w:spacing w:line="276" w:lineRule="auto" w:after="40"/>
              <w:jc w:val="right"/>
            </w:pPr>
            <w:r>
              <w:rPr>
                <w:b w:val="0"/>
                <w:i w:val="0"/>
                <w:noProof/>
                <w:sz w:val="22"/>
                <w:szCs w:val="22"/>
              </w:rPr>
              <w:t>לחכות שהפחד יירגע</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יום לימודים בלי מבוגר אחראי בשער; הגדר מתוקנת קודם</w:t>
            </w:r>
          </w:p>
        </w:tc>
        <w:tc>
          <w:tcPr>
            <w:tcW w:type="dxa" w:w="3685"/>
          </w:tcPr>
          <w:p>
            <w:pPr>
              <w:spacing w:line="276" w:lineRule="auto" w:after="40"/>
              <w:jc w:val="right"/>
            </w:pPr>
            <w:r>
              <w:rPr>
                <w:b w:val="0"/>
                <w:i w:val="0"/>
                <w:noProof/>
                <w:sz w:val="22"/>
                <w:szCs w:val="22"/>
              </w:rPr>
              <w:t>אין תקן שומר קבוע מתקציב העיר; לא לתת לבית ספר אחד מה שלא נותנים לכולם</w:t>
            </w:r>
          </w:p>
        </w:tc>
      </w:tr>
    </w:tbl>
    <w:p/>
    <w:p>
      <w:r>
        <w:rPr>
          <w:b/>
          <w:bCs/>
          <w:i w:val="0"/>
          <w:noProof/>
        </w:rPr>
        <w:t>ZOPA:</w:t>
      </w:r>
      <w:r>
        <w:rPr>
          <w:b w:val="0"/>
          <w:i w:val="0"/>
          <w:noProof/>
        </w:rPr>
        <w:t xml:space="preserve"> אדם בשער שאינו ממומן מתקציב העיר, גדר שמתוקנת לפי תקן הבטיחות, ומצלמות ממקור חיצוני. ההסכם: מלווה בטיחות לשנה במימון המחוז, גדר שתוקנה תוך שבועיים, שש מצלמות מתוכנית עירונית למניעת אלימות, ונוהל חירום משותף עם המשטרה.</w:t>
      </w:r>
    </w:p>
    <w:p>
      <w:r>
        <w:rPr>
          <w:b/>
          <w:bCs/>
          <w:i w:val="0"/>
          <w:noProof/>
        </w:rPr>
        <w:t>ניתוח:</w:t>
      </w:r>
      <w:r>
        <w:rPr>
          <w:b w:val="0"/>
          <w:i w:val="0"/>
          <w:noProof/>
        </w:rPr>
        <w:t xml:space="preserve"> המקרה הוא משחק עם כמה שחקנים, ותורת המשחקים מסבירה את הקיפאון בשלב הראשון. כל שחקן בחר באסטרטגיה שהייתה רציונלית מבחינתו, העירייה לחכות, המשרד להיצמד לקריטריון והמשטרה להעביר אחריות, והתוצאה הייתה גרועה לכולם: חצי מהתלמידים בבית (רייכרד, 2019). לעירייה היה גם שיקול של משחק חוזר: שומר בבית ספר אחד הוא תקדים שיגרור דרישה משבעה בתי ספר נוספים. אמאני שינתה את חוקי המשחק בשני מהלכים. הראשון, קואליציה: היא הפסיקה לבלום את ועד ההורים והתחילה לתאם איתו, כך ש"העירייה הבינה שאם היא לא סוגרת איתי, היא תצטרך לסגור איתם". השני, פיזור העלות בין כמה מקורות, כך שאף שחקן לא נשא לבד במחיר. היא גם השתמשה בקריטריון אובייקטיבי, השוואה לשלוש חטיבות באזור שבכולן יש שומר, שהפך את הבקשה לשאלה של שוויון (פישר ואחרים, 2013).</w:t>
      </w:r>
    </w:p>
    <w:p>
      <w:pPr>
        <w:ind w:right="709" w:left="709"/>
      </w:pPr>
      <w:r>
        <w:rPr>
          <w:b w:val="0"/>
          <w:i w:val="0"/>
          <w:noProof/>
        </w:rPr>
        <w:t>מנהלת שמביאה מספרים מקבלת תקציב, ומנהלת שמביאה רק פחד מקבלת טלפון של תמיכה.</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(Lewicki et al., 1999).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אמאני מול ההורים, התלמידים והמורים על איסוף הטלפונים</w:t>
      </w:r>
    </w:p>
    <w:p>
      <w:r>
        <w:rPr>
          <w:b w:val="0"/>
          <w:i w:val="0"/>
          <w:noProof/>
        </w:rPr>
        <w:t>בעקבות הנחיית משרד החינוך החליטה אמאני על איסוף מלא של הטלפונים בבוקר והחזרתם בסוף היום. ועד ההורים התנגד בתוקף, בעיקר בגלל הירי בעיר. מועצת התלמידים ארגנה עצומה, והמורים תמכו ברעיון אבל לא רצו להיות אחראים על ארבעים טלפונים בכל כיתה.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ועד ההורים (ובמקביל התלמידים והמורים)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הורים "שמגנים על הנוחות של הילדים ולא על טובתם"</w:t>
            </w:r>
          </w:p>
        </w:tc>
        <w:tc>
          <w:tcPr>
            <w:tcW w:type="dxa" w:w="3685"/>
          </w:tcPr>
          <w:p>
            <w:pPr>
              <w:spacing w:line="276" w:lineRule="auto" w:after="40"/>
              <w:jc w:val="right"/>
            </w:pPr>
            <w:r>
              <w:rPr>
                <w:b w:val="0"/>
                <w:i w:val="0"/>
                <w:noProof/>
                <w:sz w:val="22"/>
                <w:szCs w:val="22"/>
              </w:rPr>
              <w:t>מנהלת "שמנסה להוכיח למפקחת שהיא מיישמת"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איסוף מלא לארונית נעולה, בלי חריגים</w:t>
            </w:r>
          </w:p>
        </w:tc>
        <w:tc>
          <w:tcPr>
            <w:tcW w:type="dxa" w:w="3685"/>
          </w:tcPr>
          <w:p>
            <w:pPr>
              <w:spacing w:line="276" w:lineRule="auto" w:after="40"/>
              <w:jc w:val="right"/>
            </w:pPr>
            <w:r>
              <w:rPr>
                <w:b w:val="0"/>
                <w:i w:val="0"/>
                <w:noProof/>
                <w:sz w:val="22"/>
                <w:szCs w:val="22"/>
              </w:rPr>
              <w:t>הורים: "כבוי בתיק"; תלמידים: בלי איסוף; מורים: לא על המחנכת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אלימות שמתחילה ברשת, שיעורים בלי מסכים</w:t>
            </w:r>
          </w:p>
        </w:tc>
        <w:tc>
          <w:tcPr>
            <w:tcW w:type="dxa" w:w="3685"/>
          </w:tcPr>
          <w:p>
            <w:pPr>
              <w:spacing w:line="276" w:lineRule="auto" w:after="40"/>
              <w:jc w:val="right"/>
            </w:pPr>
            <w:r>
              <w:rPr>
                <w:b w:val="0"/>
                <w:i w:val="0"/>
                <w:noProof/>
                <w:sz w:val="22"/>
                <w:szCs w:val="22"/>
              </w:rPr>
              <w:t>הורים: להשיג את הילד מיד באירוע ביטחוני; תלמידים: כבוד; מורים: לא לשאת באחריות על רכוש</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לכפות את ההנחיה (חלשה: "כל בוקר הופך למאבק")</w:t>
            </w:r>
          </w:p>
        </w:tc>
        <w:tc>
          <w:tcPr>
            <w:tcW w:type="dxa" w:w="3685"/>
          </w:tcPr>
          <w:p>
            <w:pPr>
              <w:spacing w:line="276" w:lineRule="auto" w:after="40"/>
              <w:jc w:val="right"/>
            </w:pPr>
            <w:r>
              <w:rPr>
                <w:b w:val="0"/>
                <w:i w:val="0"/>
                <w:noProof/>
                <w:sz w:val="22"/>
                <w:szCs w:val="22"/>
              </w:rPr>
              <w:t>הורים: לא לחתום ולפנות למפקחת; תלמידים: לא לשתף פעולה</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טלפון ביד בשיעורים ובהפסקות; המחנכת לא אחראית אישית</w:t>
            </w:r>
          </w:p>
        </w:tc>
        <w:tc>
          <w:tcPr>
            <w:tcW w:type="dxa" w:w="3685"/>
          </w:tcPr>
          <w:p>
            <w:pPr>
              <w:spacing w:line="276" w:lineRule="auto" w:after="40"/>
              <w:jc w:val="right"/>
            </w:pPr>
            <w:r>
              <w:rPr>
                <w:b w:val="0"/>
                <w:i w:val="0"/>
                <w:noProof/>
                <w:sz w:val="22"/>
                <w:szCs w:val="22"/>
              </w:rPr>
              <w:t>הורים: זמינות תוך דקות באירוע; מורים: אין אחריות על רכוש</w:t>
            </w:r>
          </w:p>
        </w:tc>
      </w:tr>
    </w:tbl>
    <w:p/>
    <w:p>
      <w:r>
        <w:rPr>
          <w:b/>
          <w:bCs/>
          <w:i w:val="0"/>
          <w:noProof/>
        </w:rPr>
        <w:t>ZOPA:</w:t>
      </w:r>
      <w:r>
        <w:rPr>
          <w:b w:val="0"/>
          <w:i w:val="0"/>
          <w:noProof/>
        </w:rPr>
        <w:t xml:space="preserve"> רחב ממה שנראה בהתחלה. ההסכם: ארוניות נעולות שהמפתח שלהן במזכירות, נוהל חירום שבו הטלפונים מוחזרים תוך חמש דקות, קו טלפון של בית הספר להורים, ואחריות של מועצת התלמידים על נוהל האיסוף בכיתה ט'.</w:t>
      </w:r>
    </w:p>
    <w:p>
      <w:r>
        <w:rPr>
          <w:b/>
          <w:bCs/>
          <w:i w:val="0"/>
          <w:noProof/>
        </w:rPr>
        <w:t>ניתוח:</w:t>
      </w:r>
      <w:r>
        <w:rPr>
          <w:b w:val="0"/>
          <w:i w:val="0"/>
          <w:noProof/>
        </w:rPr>
        <w:t xml:space="preserve"> אמאני מתארת את עצמה בתחילת התהליך כמי שהייתה "בטוחה שאני צודקת", וזה תיאור של הטיית ביטחון־יתר. היא פתחה במכתב שהודיע על האיסוף כעובדה, והגיעה למפגש הראשון עם מצגת על נזקי המסכים. ההורים שמעו בזה האשמה ולא הזמנה, וזה הוביל לייחוס כוונות הדדי: היא ראתה בהם מי שמגינים על נוחות, והם ראו בה מי שמנסה לרצות את המפקחת (Lewicki et al., 1999). המפנה הגיע כשהבינה שהאינטרס של ההורים הוא "עשר דקות של פחד" ולא הטלפון בכיס, ושאלה: "מה אתם צריכים כדי להרגיש שהילד שלכם בטוח גם בלי טלפון בכיס". זהו מעבר מעמדות לאינטרסים במובן המלא (פישר ואחרים, 2013). שלושת הקריטריונים שהביאה, הנחיית המשרד, השוואה לשתי חטיבות באזור ונוהל פיקוד העורף, עזרו לתקן את העיגון של ההורים. והפתרונות שהחזיקו את ההסכם לא היו שלה: הארוניות, החמש דקות והאחריות של כיתה ט'.</w:t>
      </w:r>
    </w:p>
    <w:p>
      <w:pPr>
        <w:ind w:right="709" w:left="709"/>
      </w:pPr>
      <w:r>
        <w:rPr>
          <w:b w:val="0"/>
          <w:i w:val="0"/>
          <w:noProof/>
        </w:rPr>
        <w:t>למדתי שהסמכות שלי שווה הרבה כשאני לא משתמשת בה, ומעט מאוד כשאני מנופפת בה.</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מתארים את עצמם כמי שמשנים סגנון לפי הצד שמולם, וזה בדיוק מה שמודל העניין הכפול צופה: הבחירה בסגנון תלויה במשקל של התוצאה ושל הקשר (Rahim, 1983). מול ספקים כולם תחרותיים. רנא: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כמעט בכל המקרים המנהל פתח בעמדה, ובכל אחד מהם הצליח רק כשזיהה את האינטרס של הצד השני. כולם מתארים את הפתיחה שלהם כטעות: סמיר פתח במכתבים, רנא בישיבה של שמונים איש עם דרישה, ח'אלד בהזמנת אב שהגיע "כנאשם", ואמאני במכתב שהודיע להורים על איסוף הטלפונים כעובדה ובמצגת על נזקי המסכים. כלומר, המנהלים פועלים בפועל לפי מודל פישר ויורי (פישר ואחרים, 2013), אבל רק אחרי שהגישה החלוקתית נכשלה.</w:t>
      </w:r>
    </w:p>
    <w:p>
      <w:r>
        <w:rPr>
          <w:b w:val="0"/>
          <w:i w:val="0"/>
          <w:noProof/>
        </w:rPr>
        <w:t>Miller (2014) מצא פער בין הסגנון המוצהר לסגנון בפועל, וגם כאן יש פער. רנא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לח'אלד ולאמאני לבזבז חודשים על ויכוח על כסף ועל אשמה (Lewicki et al., 1999).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שרנא עשתה כשבנתה כללים גלויים לשיבוץ, ואמאני כשבחרה לוותר על כפיית נוהל הטלפונים כדי לא "להפסיד את ההורים לשנה שלמה".</w:t>
      </w:r>
    </w:p>
    <w:p>
      <w:r>
        <w:rPr>
          <w:b w:val="0"/>
          <w:i w:val="0"/>
          <w:noProof/>
        </w:rPr>
        <w:t>הערכה: הסגנון המשתנה יעיל, אבל יקר בזמן. בכל המקרים ההסכם הגיע אחרי חודשים, וכל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כלומר להוראות התנהגות (שפירא, 1983):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רנא מול המחסור במורים</w:t>
      </w:r>
    </w:p>
    <w:p>
      <w:r>
        <w:rPr>
          <w:b w:val="0"/>
          <w:i w:val="0"/>
          <w:noProof/>
        </w:rPr>
        <w:t>בחטיבה של רנא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רנא: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(פישר ואחרים, 2013). כאן התרבות שימשה מצפן: במקום לחלק הטבות אישיות, רנא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ורנא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ארבעה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רנא, ח'אלד ואמאני אמרו שהנתונים היו הכלי החזק ביותר שלהם.</w:t>
      </w:r>
    </w:p>
    <w:p>
      <w:r>
        <w:rPr>
          <w:b/>
          <w:bCs/>
          <w:i w:val="0"/>
          <w:noProof/>
        </w:rPr>
        <w:t>המלצה 3: לזהות מראש מי מאשר ומי יכול לפוצץ.</w:t>
      </w:r>
      <w:r>
        <w:rPr>
          <w:b w:val="0"/>
          <w:i w:val="0"/>
          <w:noProof/>
        </w:rPr>
        <w:t xml:space="preserve"> בשלושה מתוך ארבעת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שרנא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 xml:space="preserve">גלין, א' (1996). </w:t>
      </w:r>
      <w:r>
        <w:rPr>
          <w:b w:val="0"/>
          <w:i/>
          <w:iCs/>
          <w:noProof/>
        </w:rPr>
        <w:t>דינמיקה של משא ומתן: מתיאוריה ליישום</w:t>
      </w:r>
      <w:r>
        <w:rPr>
          <w:b w:val="0"/>
          <w:i w:val="0"/>
          <w:noProof/>
        </w:rPr>
        <w:t>. רמות.</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ind w:hanging="709" w:right="709"/>
        <w:jc w:val="right"/>
      </w:pPr>
      <w:r>
        <w:rPr>
          <w:b w:val="0"/>
          <w:i w:val="0"/>
          <w:noProof/>
        </w:rPr>
        <w:t xml:space="preserve">רייכרד, א' (2019). </w:t>
      </w:r>
      <w:r>
        <w:rPr>
          <w:b w:val="0"/>
          <w:i/>
          <w:iCs/>
          <w:noProof/>
        </w:rPr>
        <w:t>המשך הסכסוך באמצעים אחרים: מניעים אסטרטגיים, התנהגות שחקנים ותהליכי משא ומתן כוזבים</w:t>
      </w:r>
      <w:r>
        <w:rPr>
          <w:b w:val="0"/>
          <w:i w:val="0"/>
          <w:noProof/>
        </w:rPr>
        <w:t xml:space="preserve"> [עבודת דוקטורט]. אוניברסיטת תל אביב.</w:t>
      </w:r>
    </w:p>
    <w:p>
      <w:pPr>
        <w:ind w:hanging="709" w:right="709"/>
        <w:jc w:val="right"/>
      </w:pPr>
      <w:r>
        <w:rPr>
          <w:b w:val="0"/>
          <w:i w:val="0"/>
          <w:noProof/>
        </w:rPr>
        <w:t xml:space="preserve">שפירא, י' (1983). </w:t>
      </w:r>
      <w:r>
        <w:rPr>
          <w:b w:val="0"/>
          <w:i/>
          <w:iCs/>
          <w:noProof/>
        </w:rPr>
        <w:t>יסודות הסוציולוגיה</w:t>
      </w:r>
      <w:r>
        <w:rPr>
          <w:b w:val="0"/>
          <w:i w:val="0"/>
          <w:noProof/>
        </w:rPr>
        <w:t>. עם עובד.</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p>
      <w:pPr>
        <w:bidi w:val="0"/>
        <w:ind w:hanging="709" w:left="709"/>
        <w:jc w:val="left"/>
      </w:pPr>
      <w:r>
        <w:rPr>
          <w:rFonts w:ascii="Times New Roman" w:hAnsi="Times New Roman" w:cs="Times New Roman"/>
          <w:b w:val="0"/>
          <w:i w:val="0"/>
          <w:noProof/>
          <w:rtl w:val="0"/>
          <w:lang w:val="en-US" w:bidi="he-IL"/>
        </w:rPr>
        <w:t xml:space="preserve">Rahim, M. A. (2002). Toward a theory of managing organizational conflict. </w:t>
      </w:r>
      <w:r>
        <w:rPr>
          <w:rFonts w:ascii="Times New Roman" w:hAnsi="Times New Roman" w:cs="Times New Roman"/>
          <w:b w:val="0"/>
          <w:i/>
          <w:iCs/>
          <w:noProof/>
          <w:rtl w:val="0"/>
          <w:lang w:val="en-US" w:bidi="he-IL"/>
        </w:rPr>
        <w:t>International Journal of Conflict Management, 13</w:t>
      </w:r>
      <w:r>
        <w:rPr>
          <w:rFonts w:ascii="Times New Roman" w:hAnsi="Times New Roman" w:cs="Times New Roman"/>
          <w:b w:val="0"/>
          <w:i w:val="0"/>
          <w:noProof/>
          <w:rtl w:val="0"/>
          <w:lang w:val="en-US" w:bidi="he-IL"/>
        </w:rPr>
        <w:t>(3), 206-235.</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