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sz w:val="28"/>
          <w:szCs w:val="28"/>
          <w:rtl/>
        </w:rPr>
        <w:t xml:space="preserve">גורדון - המכללה האקדמית לחינוך, חיפה</w:t>
      </w:r>
    </w:p>
    <w:p>
      <w:pPr>
        <w:bidi/>
        <w:spacing w:after="0" w:before="0" w:line="360" w:lineRule="auto"/>
        <w:jc w:val="center"/>
      </w:pPr>
      <w:r>
        <w:rPr>
          <w:rFonts w:ascii="Times New Roman" w:cs="David" w:hAnsi="Times New Roman"/>
          <w:b w:val="false"/>
          <w:i w:val="false"/>
          <w:sz w:val="26"/>
          <w:szCs w:val="26"/>
          <w:rtl/>
        </w:rPr>
        <w:t xml:space="preserve">לימודי מוסמך בחינוך (M.Ed.)</w:t>
      </w:r>
    </w:p>
    <w:p>
      <w:pPr>
        <w:bidi/>
        <w:spacing w:after="0" w:before="0" w:line="360" w:lineRule="auto"/>
        <w:jc w:val="center"/>
      </w:pPr>
      <w:r>
        <w:rPr>
          <w:rFonts w:ascii="Times New Roman" w:cs="David" w:hAnsi="Times New Roman"/>
          <w:b w:val="false"/>
          <w:i w:val="false"/>
          <w:sz w:val="26"/>
          <w:szCs w:val="26"/>
          <w:rt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sz w:val="32"/>
          <w:szCs w:val="32"/>
          <w:rt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sz w:val="28"/>
          <w:szCs w:val="28"/>
          <w:rt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מגיש: משה חן, ת"ז 209020932</w:t>
      </w:r>
    </w:p>
    <w:p>
      <w:pPr>
        <w:bidi/>
        <w:spacing w:after="0" w:before="0" w:line="360" w:lineRule="auto"/>
        <w:jc w:val="center"/>
      </w:pPr>
      <w:r>
        <w:rPr>
          <w:rFonts w:ascii="Times New Roman" w:cs="David" w:hAnsi="Times New Roman"/>
          <w:b w:val="false"/>
          <w:i w:val="false"/>
          <w:sz w:val="26"/>
          <w:szCs w:val="26"/>
          <w:rt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אלול תשפ"ו, אוגוסט 2026</w:t>
      </w:r>
    </w:p>
    <w:p>
      <w:r>
        <w:br w:type="page"/>
      </w:r>
    </w:p>
    <w:p>
      <w:pPr>
        <w:bidi/>
        <w:spacing w:after="240" w:before="0" w:line="360" w:lineRule="auto"/>
        <w:jc w:val="center"/>
      </w:pPr>
      <w:r>
        <w:rPr>
          <w:rFonts w:ascii="Times New Roman" w:cs="David" w:hAnsi="Times New Roman"/>
          <w:b/>
          <w:bCs/>
          <w:i w:val="false"/>
          <w:sz w:val="32"/>
          <w:szCs w:val="32"/>
          <w:rtl/>
        </w:rPr>
        <w:t xml:space="preserve">סקירת ספרות</w:t>
      </w:r>
    </w:p>
    <w:p>
      <w:pPr>
        <w:bidi/>
        <w:spacing w:after="120" w:before="240" w:line="360" w:lineRule="auto"/>
        <w:jc w:val="right"/>
      </w:pPr>
      <w:r>
        <w:rPr>
          <w:rFonts w:ascii="Times New Roman" w:cs="David" w:hAnsi="Times New Roman"/>
          <w:b/>
          <w:bCs/>
          <w:i w:val="false"/>
          <w:sz w:val="28"/>
          <w:szCs w:val="28"/>
          <w:rt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sz w:val="24"/>
          <w:szCs w:val="24"/>
          <w:rt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בישראל עוגן המהלך בחוק חינוך מיוחד, התשמ"ח-1988, המחייב את רשויות החינוך לשלב את הילד עם הצרכים הייחודיים במסגרת המתאימה ביותר ליכולתו, תוך מתן זכות קדימה להשמה במוסד חינוך שאינו מוסד לחינוך מיוחד, ומעניק להורים תפקיד מרכזי בהחלטות על השילוב המתאים לילדם (הלל לביאן ובכר כץ, 2010). מדובר בסוגיה הנוגעת לציבור רחב: על פי נתוני הסקר החברתי של הלשכה המרכזית לסטטיסטיקה חיים בישראל כמיליון וחצי אנשים עם מוגבלות, שהם 17% מכלל האוכלוסייה (הוצלר, 2019).</w:t>
      </w:r>
    </w:p>
    <w:p>
      <w:pPr>
        <w:bidi/>
        <w:spacing w:after="0" w:line="360" w:lineRule="auto"/>
        <w:ind w:firstLine="709"/>
        <w:jc w:val="both"/>
      </w:pPr>
      <w:r>
        <w:rPr>
          <w:rFonts w:ascii="Times New Roman" w:cs="David" w:hAnsi="Times New Roman"/>
          <w:b w:val="false"/>
          <w:i w:val="false"/>
          <w:sz w:val="24"/>
          <w:szCs w:val="24"/>
          <w:rt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ind w:firstLine="709"/>
        <w:jc w:val="both"/>
      </w:pPr>
      <w:r>
        <w:rPr>
          <w:rFonts w:ascii="Times New Roman" w:cs="David" w:hAnsi="Times New Roman"/>
          <w:b w:val="false"/>
          <w:i w:val="false"/>
          <w:sz w:val="24"/>
          <w:szCs w:val="24"/>
          <w:rt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ind w:firstLine="709"/>
        <w:jc w:val="both"/>
      </w:pPr>
      <w:r>
        <w:rPr>
          <w:rFonts w:ascii="Times New Roman" w:cs="David" w:hAnsi="Times New Roman"/>
          <w:b w:val="false"/>
          <w:i w:val="false"/>
          <w:sz w:val="24"/>
          <w:szCs w:val="24"/>
          <w:rtl/>
        </w:rPr>
        <w:t xml:space="preserve">עם זאת, הספרות מלמדת כי עצם ההשמה בכיתה רגילה אינה מבטיחה שילוב מוצלח. גביש ושמעוני (2006), שראיינו בראיונות עומק חצי-מובנים 25 מורות המשלבות תלמידים עם צרכים ייחודיים בכיתותיהן, מצאו היעדר ידע מבוסס ושיטתי על השילוב והיעדר הכנה מערכתית מתוכננת, עד כדי תפיסת השדה כמערכת כאוטית שבה המורות חשופות דרך קבע לקבוצות לחץ שונות. תפיסה זו תורמת לתחושות של חוסר הוגנות, כישלון ושחיקה, וכדרך התמודדות עושות המורות את המינימום המתחייב ומעבירות את האחריות שמעבר לכך לאנשי החינוך המיוחד.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sz w:val="28"/>
          <w:szCs w:val="28"/>
          <w:rt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sz w:val="24"/>
          <w:szCs w:val="24"/>
          <w:rtl/>
        </w:rPr>
        <w:t xml:space="preserve">אוטיזם הוא הפרעה התפתחותית המופיעה לרוב בשלושים ושישה חודשי החיים הראשונים, והיא מתאפיינת בחריגות איכותית בקשרים החברתיים ההדדיים ובדפוסי ההתקשרות, וכן ברפרטואר מוגבל וחוזר על עצמו של תחומי עניין ופעילות (הלל לביאן ובכר כץ, 2010). בתוך האוכלוסייה הרחבה של תלמידים עם צרכים ייחודיים, התלמידים על הרצף האוטיסטי (ASD) מציבים בפני המסגרת המשלבת אתגר ייחודי: הקושי המרכזי שלהם אינו בהכרח לימודי, אלא ממוקד בתקשורת החברתית, ובכלל זה בהבנת שפה פיגורטיבית ובביצוע ההיקשים הנדרשים לפירוש סיטואציות חברתיות (גרומן וצוריאל, 2022).</w:t>
      </w:r>
    </w:p>
    <w:p>
      <w:pPr>
        <w:bidi/>
        <w:spacing w:after="0" w:line="360" w:lineRule="auto"/>
        <w:ind w:firstLine="709"/>
        <w:jc w:val="both"/>
      </w:pPr>
      <w:r>
        <w:rPr>
          <w:rFonts w:ascii="Times New Roman" w:cs="David" w:hAnsi="Times New Roman"/>
          <w:b w:val="false"/>
          <w:i w:val="false"/>
          <w:sz w:val="24"/>
          <w:szCs w:val="24"/>
          <w:rtl/>
        </w:rPr>
        <w:t xml:space="preserve">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גם פגיעות רגשית: מחקר השוואתי שנערך בבתי ספר על-יסודיים רגילים מצא בקרב תלמידים על הרצף האוטיסטי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ind w:firstLine="709"/>
        <w:jc w:val="both"/>
      </w:pPr>
      <w:r>
        <w:rPr>
          <w:rFonts w:ascii="Times New Roman" w:cs="David" w:hAnsi="Times New Roman"/>
          <w:b w:val="false"/>
          <w:i w:val="false"/>
          <w:sz w:val="24"/>
          <w:szCs w:val="24"/>
          <w:rtl/>
        </w:rPr>
        <w:t xml:space="preserve">רובד שלישי של האתגר הוא קוגניטיבי. פגיעה בתפקודים הניהוליים, ובהם בקרה, ויסות עצמי וגמישות מחשבתית, נמצאה קשורה אצל תלמידים על הרצף גם ללמידה החברתית-רגשית וגם לכשירות החברתית בפועל (Berard et al., 2017), ותוכניות אימון קוגניטיבי המכוונות לתפקודים אלה נמצאו בעלות פוטנציאל לשיפורם (Pasqualotto et al., 2021). גם כאשר ההתערבות מכוונת ישירות למיומנויות חברתיות, יעילותה אינה מובנת מאליה: קבוצות לאימון מיומנויות חברתיות הפועלות בבית הספר נמצאו יעילות, אך יעילותן הושפעה מהרכב הקבוצה ומסביבת ההתערבות (Dean et al., 2020). המסקנה המצטברת היא שהתחום החברתי-רגשי אינו משתפר מאליו עם ההשמה בכיתה, אלא מחייב תכנון מדוקדק ומענה מפורש.</w:t>
      </w:r>
    </w:p>
    <w:p>
      <w:pPr>
        <w:bidi/>
        <w:spacing w:after="120" w:before="240" w:line="360" w:lineRule="auto"/>
        <w:jc w:val="right"/>
      </w:pPr>
      <w:r>
        <w:rPr>
          <w:rFonts w:ascii="Times New Roman" w:cs="David" w:hAnsi="Times New Roman"/>
          <w:b/>
          <w:bCs/>
          <w:i w:val="false"/>
          <w:sz w:val="28"/>
          <w:szCs w:val="28"/>
          <w:rt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sz w:val="24"/>
          <w:szCs w:val="24"/>
          <w:rt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מחקרים ישראליים שליוו את שילובם של ילדים עם אוטיזם מלמדים כי הצלחת השילוב אינה חד-ערכית: היא נמדדת ביחס למטרות שהוצבו בתחילת התהליך ותלויה בהתקיימותם של תנאים תומכים (הלל לביאן ובכר כץ, 2010). במחקר איכותני-נרטיבי שנשען על סיפור חייה של גננת משלבת ביקשו הלל לביאן ובכר כץ (2010) להבין מבפנים את הגורמים העשויים להגדיל את הסיכוי לשילוב מוצלח, מתוך הנחה שסוגיית המסגרת המתאימה נדונה בחיי הילד יותר מפעם אחת, ולא פעם היא נקודת מחלוקת בין ההורים למערכת החינוכית.</w:t>
      </w:r>
    </w:p>
    <w:p>
      <w:pPr>
        <w:bidi/>
        <w:spacing w:after="0" w:line="360" w:lineRule="auto"/>
        <w:ind w:firstLine="709"/>
        <w:jc w:val="both"/>
      </w:pPr>
      <w:r>
        <w:rPr>
          <w:rFonts w:ascii="Times New Roman" w:cs="David" w:hAnsi="Times New Roman"/>
          <w:b w:val="false"/>
          <w:i w:val="false"/>
          <w:sz w:val="24"/>
          <w:szCs w:val="24"/>
          <w:rtl/>
        </w:rPr>
        <w:t xml:space="preserve">ההצלחה תלויה גם בסביבה החברתית המקיפה את התלמיד המשולב, ולא רק בו עצמו. ויטני ורייטר (2006) בחנו 52 תלמידים עם התפתחות תקינה המשלבים בכיתתם תלמידים עם אוטיזם לאורך כמה שנים ובאופן יומיומי, באמצעות שאלונים וראיונות עם התלמידים ועם מורות המלוות את השילוב. הממצאים העידו על קיומה של שחיקה בקרב התלמידים המשלבים, ועל קשר בין עוצמת השחיקה לבין עמדותיהם כלפי השילוב ואיכות התיווך שלהם: ככל שהשחיקה גבוהה יותר, העמדות שליליות יותר ואיכות התיווך נמוכה יותר. תוכנית התערבות שהופעלה בקרב התלמידים המשלבים הביאה לירידה בשחיקה ולשינוי חיובי בעמדות ובאיכות התיווך, ומכאן שהשקעה בסביבה המשלבת היא חלק בלתי נפרד מהשקעה בתלמיד המשולב.</w:t>
      </w:r>
    </w:p>
    <w:p>
      <w:pPr>
        <w:bidi/>
        <w:spacing w:after="0" w:line="360" w:lineRule="auto"/>
        <w:ind w:firstLine="709"/>
        <w:jc w:val="both"/>
      </w:pPr>
      <w:r>
        <w:rPr>
          <w:rFonts w:ascii="Times New Roman" w:cs="David" w:hAnsi="Times New Roman"/>
          <w:b w:val="false"/>
          <w:i w:val="false"/>
          <w:sz w:val="24"/>
          <w:szCs w:val="24"/>
          <w:rt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ind w:firstLine="709"/>
        <w:jc w:val="both"/>
      </w:pPr>
      <w:r>
        <w:rPr>
          <w:rFonts w:ascii="Times New Roman" w:cs="David" w:hAnsi="Times New Roman"/>
          <w:b w:val="false"/>
          <w:i w:val="false"/>
          <w:sz w:val="24"/>
          <w:szCs w:val="24"/>
          <w:rt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sz w:val="28"/>
          <w:szCs w:val="28"/>
          <w:rt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sz w:val="24"/>
          <w:szCs w:val="24"/>
          <w:rt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ind w:firstLine="709"/>
        <w:jc w:val="both"/>
      </w:pPr>
      <w:r>
        <w:rPr>
          <w:rFonts w:ascii="Times New Roman" w:cs="David" w:hAnsi="Times New Roman"/>
          <w:b w:val="false"/>
          <w:i w:val="false"/>
          <w:sz w:val="24"/>
          <w:szCs w:val="24"/>
          <w:rt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והקשר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w:t>
      </w:r>
    </w:p>
    <w:p>
      <w:pPr>
        <w:bidi/>
        <w:spacing w:after="0" w:line="360" w:lineRule="auto"/>
        <w:ind w:firstLine="709"/>
        <w:jc w:val="both"/>
      </w:pPr>
      <w:r>
        <w:rPr>
          <w:rFonts w:ascii="Times New Roman" w:cs="David" w:hAnsi="Times New Roman"/>
          <w:b w:val="false"/>
          <w:i w:val="false"/>
          <w:sz w:val="24"/>
          <w:szCs w:val="24"/>
          <w:rt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ממצא זה מצטרף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ind w:firstLine="709"/>
        <w:jc w:val="both"/>
      </w:pPr>
      <w:r>
        <w:rPr>
          <w:rFonts w:ascii="Times New Roman" w:cs="David" w:hAnsi="Times New Roman"/>
          <w:b w:val="false"/>
          <w:i w:val="false"/>
          <w:sz w:val="24"/>
          <w:szCs w:val="24"/>
          <w:rtl/>
        </w:rPr>
        <w:t xml:space="preserve">המחקר על התערבויות לתלמידים על הרצף מצביע על עיקרון עבודה חוזר: פירוק של מיומנויות מופשטות לשלבים מפורשים ומובנים.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 המשותף להתערבויות אלה הוא הנגשה חזותית ומובנית של תוכן מובלע, המפחיתה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sz w:val="28"/>
          <w:szCs w:val="28"/>
          <w:rtl/>
        </w:rPr>
        <w:t xml:space="preserve">5. תוכנית "מעגלים" והערכת יישומה</w:t>
      </w:r>
    </w:p>
    <w:p>
      <w:pPr>
        <w:bidi/>
        <w:spacing w:after="0" w:line="360" w:lineRule="auto"/>
        <w:jc w:val="both"/>
      </w:pPr>
      <w:r>
        <w:rPr>
          <w:rFonts w:ascii="Times New Roman" w:cs="David" w:hAnsi="Times New Roman"/>
          <w:b w:val="false"/>
          <w:i w:val="false"/>
          <w:sz w:val="24"/>
          <w:szCs w:val="24"/>
          <w:rt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ind w:firstLine="709"/>
        <w:jc w:val="both"/>
      </w:pPr>
      <w:r>
        <w:rPr>
          <w:rFonts w:ascii="Times New Roman" w:cs="David" w:hAnsi="Times New Roman"/>
          <w:b w:val="false"/>
          <w:i w:val="false"/>
          <w:sz w:val="24"/>
          <w:szCs w:val="24"/>
          <w:rtl/>
        </w:rPr>
        <w:t xml:space="preserve">התוכנית ממיינת את הסביבה החברתית לחמישה מעגלים על פי מידת הקרבה: במרכז נמצא המעגל הפרטי, שבו יש מקום לאדם אחד בלבד, התלמיד עצמו, והוא זה שמחליט מי יהיה קרוב אליו ומי יאכלס את שאר המעגלים, על בסיס עקרון ההדדיות; סביבו המעגל המשפחתי, ובו האנשים הקרובים שהתלמיד אוהב והם משיבים לו אהבה; אחריו המעגל החברי, שיכול להכיל אנשים רבים יותר ולהוות מקור רב ערך להערכה עצמית; המעגל הרביעי הוא מעגל המכרים ואנשי המקצוע, המאופיין בלחיצת יד או בנפנוף לשלום; והמעגל החיצוני, המקיף את כולם, הוא מעגל הזרים (משרד החינוך, ל.ת.).</w:t>
      </w:r>
    </w:p>
    <w:p>
      <w:pPr>
        <w:bidi/>
        <w:spacing w:after="0" w:line="360" w:lineRule="auto"/>
        <w:ind w:firstLine="709"/>
        <w:jc w:val="both"/>
      </w:pPr>
      <w:r>
        <w:rPr>
          <w:rFonts w:ascii="Times New Roman" w:cs="David" w:hAnsi="Times New Roman"/>
          <w:b w:val="false"/>
          <w:i w:val="false"/>
          <w:sz w:val="24"/>
          <w:szCs w:val="24"/>
          <w:rt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 מבנה זה הופך את התוכנית למתאימה במיוחד לתלמידים על הרצף האוטיסטי: היא ממירה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w:t>
      </w:r>
    </w:p>
    <w:p>
      <w:pPr>
        <w:bidi/>
        <w:spacing w:after="0" w:line="360" w:lineRule="auto"/>
        <w:ind w:firstLine="709"/>
        <w:jc w:val="both"/>
      </w:pPr>
      <w:r>
        <w:rPr>
          <w:rFonts w:ascii="Times New Roman" w:cs="David" w:hAnsi="Times New Roman"/>
          <w:b w:val="false"/>
          <w:i w:val="false"/>
          <w:sz w:val="24"/>
          <w:szCs w:val="24"/>
          <w:rtl/>
        </w:rPr>
        <w:t xml:space="preserve">סקירת הספרות מציירת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כפי שהדגישה ועדת המומחים (בנבנישתי ופרידמן, 2020),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w:t>
      </w:r>
    </w:p>
    <w:p>
      <w:r>
        <w:br w:type="page"/>
      </w:r>
    </w:p>
    <w:p>
      <w:pPr>
        <w:bidi/>
        <w:spacing w:after="240" w:before="0" w:line="360" w:lineRule="auto"/>
        <w:jc w:val="center"/>
      </w:pPr>
      <w:r>
        <w:rPr>
          <w:rFonts w:ascii="Times New Roman" w:cs="David" w:hAnsi="Times New Roman"/>
          <w:b/>
          <w:bCs/>
          <w:i w:val="false"/>
          <w:sz w:val="32"/>
          <w:szCs w:val="32"/>
          <w:rtl/>
        </w:rPr>
        <w:t xml:space="preserve">רשימת מקורות</w:t>
      </w:r>
    </w:p>
    <w:p>
      <w:pPr>
        <w:bidi/>
        <w:spacing w:after="120" w:line="360" w:lineRule="auto"/>
        <w:ind w:left="709" w:hanging="709"/>
      </w:pPr>
      <w:r>
        <w:rPr>
          <w:rFonts w:ascii="Times New Roman" w:cs="David" w:hAnsi="Times New Roman"/>
          <w:b w:val="false"/>
          <w:i w:val="false"/>
          <w:sz w:val="24"/>
          <w:szCs w:val="24"/>
          <w:rtl/>
        </w:rPr>
        <w:t xml:space="preserve">אלון מן, ט. וברק, ד. (2025). כיצד אוטיסטים והורים לאוטיסטים חווים את מערכת החינוך. </w:t>
      </w:r>
      <w:r>
        <w:rPr>
          <w:rFonts w:ascii="Times New Roman" w:cs="David" w:hAnsi="Times New Roman"/>
          <w:b w:val="false"/>
          <w:i/>
          <w:iCs/>
          <w:sz w:val="24"/>
          <w:szCs w:val="24"/>
          <w:rtl/>
        </w:rPr>
        <w:t xml:space="preserve">במעגלי חינוך: מחקר, עיון ויצירה</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14</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https://www.dyellin.ac.il/sites/default/files/journals/journaleducation/edtion14/autistics_parents_education_system.pdf</w:t>
      </w:r>
    </w:p>
    <w:p>
      <w:pPr>
        <w:bidi/>
        <w:spacing w:after="120" w:line="360" w:lineRule="auto"/>
        <w:ind w:left="709" w:hanging="709"/>
      </w:pPr>
      <w:r>
        <w:rPr>
          <w:rFonts w:ascii="Times New Roman" w:cs="David" w:hAnsi="Times New Roman"/>
          <w:b w:val="false"/>
          <w:i w:val="false"/>
          <w:sz w:val="24"/>
          <w:szCs w:val="24"/>
          <w:rtl/>
        </w:rPr>
        <w:t xml:space="preserve">בנבנישתי, ר. ופרידמן, ט. (עורכים). (2020). </w:t>
      </w:r>
      <w:r>
        <w:rPr>
          <w:rFonts w:ascii="Times New Roman" w:cs="David" w:hAnsi="Times New Roman"/>
          <w:b w:val="false"/>
          <w:i/>
          <w:iCs/>
          <w:sz w:val="24"/>
          <w:szCs w:val="24"/>
          <w:rt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sz w:val="24"/>
          <w:szCs w:val="24"/>
          <w:rtl/>
        </w:rPr>
        <w:t xml:space="preserve">. יוזמה - מרכז לידע ולמחקר בחינוך, האקדמיה הלאומית הישראלית למדעים. </w:t>
      </w:r>
      <w:r>
        <w:rPr>
          <w:rFonts w:ascii="Times New Roman" w:cs="David" w:hAnsi="Times New Roman"/>
          <w:i w:val="false"/>
          <w:sz w:val="24"/>
          <w:szCs w:val="24"/>
        </w:rPr>
        <w:t xml:space="preserve">https://education.academy.ac.il/SystemFiles/22-9-20%20SEL%20all.pdf</w:t>
      </w:r>
    </w:p>
    <w:p>
      <w:pPr>
        <w:bidi/>
        <w:spacing w:after="120" w:line="360" w:lineRule="auto"/>
        <w:ind w:left="709" w:hanging="709"/>
      </w:pPr>
      <w:r>
        <w:rPr>
          <w:rFonts w:ascii="Times New Roman" w:cs="David" w:hAnsi="Times New Roman"/>
          <w:b w:val="false"/>
          <w:i w:val="false"/>
          <w:sz w:val="24"/>
          <w:szCs w:val="24"/>
          <w:rt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35-54.</w:t>
      </w:r>
    </w:p>
    <w:p>
      <w:pPr>
        <w:bidi/>
        <w:spacing w:after="120" w:line="360" w:lineRule="auto"/>
        <w:ind w:left="709" w:hanging="709"/>
      </w:pPr>
      <w:r>
        <w:rPr>
          <w:rFonts w:ascii="Times New Roman" w:cs="David" w:hAnsi="Times New Roman"/>
          <w:b w:val="false"/>
          <w:i w:val="false"/>
          <w:sz w:val="24"/>
          <w:szCs w:val="24"/>
          <w:rt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145-179.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הוצלר, י. (2019). הכלה, עיצוב אוניברסלי והתאמה בחינוך הגופני. </w:t>
      </w:r>
      <w:r>
        <w:rPr>
          <w:rFonts w:ascii="Times New Roman" w:cs="David" w:hAnsi="Times New Roman"/>
          <w:b w:val="false"/>
          <w:i/>
          <w:iCs/>
          <w:sz w:val="24"/>
          <w:szCs w:val="24"/>
          <w:rtl/>
        </w:rPr>
        <w:t xml:space="preserve">בתנועה: כתב עת למדעי החינוך הגופני והספורט</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יב</w:t>
      </w:r>
      <w:r>
        <w:rPr>
          <w:rFonts w:ascii="Times New Roman" w:cs="David" w:hAnsi="Times New Roman"/>
          <w:b w:val="false"/>
          <w:i w:val="false"/>
          <w:sz w:val="24"/>
          <w:szCs w:val="24"/>
          <w:rtl/>
        </w:rPr>
        <w:t xml:space="preserve">(1), 70-94.</w:t>
      </w:r>
    </w:p>
    <w:p>
      <w:pPr>
        <w:bidi/>
        <w:spacing w:after="120" w:line="360" w:lineRule="auto"/>
        <w:ind w:left="709" w:hanging="709"/>
      </w:pPr>
      <w:r>
        <w:rPr>
          <w:rFonts w:ascii="Times New Roman" w:cs="David" w:hAnsi="Times New Roman"/>
          <w:b w:val="false"/>
          <w:i w:val="false"/>
          <w:sz w:val="24"/>
          <w:szCs w:val="24"/>
          <w:rtl/>
        </w:rPr>
        <w:t xml:space="preserve">הלל לביאן, ר. ובכר כץ, ע. (2010). ילדי הבועה בחיי הבבואה: שילוב ילדים עם אוטיזם בחינוך הרגיל.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25</w:t>
      </w:r>
      <w:r>
        <w:rPr>
          <w:rFonts w:ascii="Times New Roman" w:cs="David" w:hAnsi="Times New Roman"/>
          <w:b w:val="false"/>
          <w:i w:val="false"/>
          <w:sz w:val="24"/>
          <w:szCs w:val="24"/>
          <w:rtl/>
        </w:rPr>
        <w:t xml:space="preserve">(1), 43-58.</w:t>
      </w:r>
    </w:p>
    <w:p>
      <w:pPr>
        <w:bidi/>
        <w:spacing w:after="120" w:line="360" w:lineRule="auto"/>
        <w:ind w:left="709" w:hanging="709"/>
      </w:pPr>
      <w:r>
        <w:rPr>
          <w:rFonts w:ascii="Times New Roman" w:cs="David" w:hAnsi="Times New Roman"/>
          <w:b w:val="false"/>
          <w:i w:val="false"/>
          <w:sz w:val="24"/>
          <w:szCs w:val="24"/>
          <w:rt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6</w:t>
      </w:r>
      <w:r>
        <w:rPr>
          <w:rFonts w:ascii="Times New Roman" w:cs="David" w:hAnsi="Times New Roman"/>
          <w:b w:val="false"/>
          <w:i w:val="false"/>
          <w:sz w:val="24"/>
          <w:szCs w:val="24"/>
          <w:rtl/>
        </w:rPr>
        <w:t xml:space="preserve">.</w:t>
      </w:r>
    </w:p>
    <w:p>
      <w:pPr>
        <w:bidi/>
        <w:spacing w:after="120" w:line="360" w:lineRule="auto"/>
        <w:ind w:left="709" w:hanging="709"/>
      </w:pPr>
      <w:r>
        <w:rPr>
          <w:rFonts w:ascii="Times New Roman" w:cs="David" w:hAnsi="Times New Roman"/>
          <w:b w:val="false"/>
          <w:i w:val="false"/>
          <w:sz w:val="24"/>
          <w:szCs w:val="24"/>
          <w:rt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sz w:val="24"/>
          <w:szCs w:val="24"/>
        </w:rPr>
        <w:t xml:space="preserve">https://www.talpiot.ac.il/wp-content/uploads/2023/02/%D7%94%D7%A8-%D7%A6%D7%91%D7%99-%D7%A9%D7%99%D7%A8%D7%9C%D7%99.pdf</w:t>
      </w:r>
    </w:p>
    <w:p>
      <w:pPr>
        <w:bidi/>
        <w:spacing w:after="120" w:line="360" w:lineRule="auto"/>
        <w:ind w:left="709" w:hanging="709"/>
      </w:pPr>
      <w:r>
        <w:rPr>
          <w:rFonts w:ascii="Times New Roman" w:cs="David" w:hAnsi="Times New Roman"/>
          <w:b w:val="false"/>
          <w:i w:val="false"/>
          <w:sz w:val="24"/>
          <w:szCs w:val="24"/>
          <w:rt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55-68.</w:t>
      </w:r>
    </w:p>
    <w:p>
      <w:pPr>
        <w:bidi/>
        <w:spacing w:after="120" w:line="360" w:lineRule="auto"/>
        <w:ind w:left="709" w:hanging="709"/>
      </w:pPr>
      <w:r>
        <w:rPr>
          <w:rFonts w:ascii="Times New Roman" w:cs="David" w:hAnsi="Times New Roman"/>
          <w:b w:val="false"/>
          <w:i w:val="false"/>
          <w:sz w:val="24"/>
          <w:szCs w:val="24"/>
          <w:rt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29</w:t>
      </w:r>
      <w:r>
        <w:rPr>
          <w:rFonts w:ascii="Times New Roman" w:cs="David" w:hAnsi="Times New Roman"/>
          <w:b w:val="false"/>
          <w:i w:val="false"/>
          <w:sz w:val="24"/>
          <w:szCs w:val="24"/>
          <w:rtl/>
        </w:rPr>
        <w:t xml:space="preserve">, 126-146.</w:t>
      </w:r>
    </w:p>
    <w:p>
      <w:pPr>
        <w:bidi/>
        <w:spacing w:after="120" w:line="360" w:lineRule="auto"/>
        <w:ind w:left="709" w:hanging="709"/>
      </w:pPr>
      <w:r>
        <w:rPr>
          <w:rFonts w:ascii="Times New Roman" w:cs="David" w:hAnsi="Times New Roman"/>
          <w:b w:val="false"/>
          <w:i w:val="false"/>
          <w:sz w:val="24"/>
          <w:szCs w:val="24"/>
          <w:rtl/>
        </w:rPr>
        <w:t xml:space="preserve">לייזר, י. (2001). החינוך המיוחד נושק לעתיד: נושאים לעיון ולדיון ביקורתי.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16</w:t>
      </w:r>
      <w:r>
        <w:rPr>
          <w:rFonts w:ascii="Times New Roman" w:cs="David" w:hAnsi="Times New Roman"/>
          <w:b w:val="false"/>
          <w:i w:val="false"/>
          <w:sz w:val="24"/>
          <w:szCs w:val="24"/>
          <w:rtl/>
        </w:rPr>
        <w:t xml:space="preserve">(1), 15-24.</w:t>
      </w:r>
    </w:p>
    <w:p>
      <w:pPr>
        <w:bidi/>
        <w:spacing w:after="120" w:line="360" w:lineRule="auto"/>
        <w:ind w:left="709" w:hanging="709"/>
      </w:pPr>
      <w:r>
        <w:rPr>
          <w:rFonts w:ascii="Times New Roman" w:cs="David" w:hAnsi="Times New Roman"/>
          <w:b w:val="false"/>
          <w:i w:val="false"/>
          <w:sz w:val="24"/>
          <w:szCs w:val="24"/>
          <w:rtl/>
        </w:rPr>
        <w:t xml:space="preserve">מזרחי, ע. ויריב, א. (2022). שיפור מיומנויות חברתיות-רגשיות של תלמידה עם ASD: חקר מקרה.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משרד החינוך, היחידה למיניות ולמניעת פגיעה בילדים ובבני נוער. (ל.ת.). </w:t>
      </w:r>
      <w:r>
        <w:rPr>
          <w:rFonts w:ascii="Times New Roman" w:cs="David" w:hAnsi="Times New Roman"/>
          <w:b w:val="false"/>
          <w:i/>
          <w:iCs/>
          <w:sz w:val="24"/>
          <w:szCs w:val="24"/>
          <w:rtl/>
        </w:rPr>
        <w:t xml:space="preserve">תוכנית מעגלים</w:t>
      </w:r>
      <w:r>
        <w:rPr>
          <w:rFonts w:ascii="Times New Roman" w:cs="David" w:hAnsi="Times New Roman"/>
          <w:b w:val="false"/>
          <w:i w:val="false"/>
          <w:sz w:val="24"/>
          <w:szCs w:val="24"/>
          <w:rtl/>
        </w:rPr>
        <w:t xml:space="preserve"> [חוברת מידע].</w:t>
      </w:r>
    </w:p>
    <w:p>
      <w:pPr>
        <w:bidi/>
        <w:spacing w:after="120" w:line="360" w:lineRule="auto"/>
        <w:ind w:left="709" w:hanging="709"/>
      </w:pPr>
      <w:r>
        <w:rPr>
          <w:rFonts w:ascii="Times New Roman" w:cs="David" w:hAnsi="Times New Roman"/>
          <w:b w:val="false"/>
          <w:i w:val="false"/>
          <w:sz w:val="24"/>
          <w:szCs w:val="24"/>
          <w:rt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sz w:val="24"/>
          <w:szCs w:val="24"/>
          <w:rtl/>
        </w:rPr>
        <w:t xml:space="preserve">כתב עת ישראלי לריפוי בעיסוק</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12</w:t>
      </w:r>
      <w:r>
        <w:rPr>
          <w:rFonts w:ascii="Times New Roman" w:cs="David" w:hAnsi="Times New Roman"/>
          <w:b w:val="false"/>
          <w:i w:val="false"/>
          <w:sz w:val="24"/>
          <w:szCs w:val="24"/>
          <w:rtl/>
        </w:rPr>
        <w:t xml:space="preserve">(4), H193-H206.</w:t>
      </w:r>
    </w:p>
    <w:p>
      <w:pPr>
        <w:bidi/>
        <w:spacing w:after="120" w:line="360" w:lineRule="auto"/>
        <w:ind w:left="709" w:hanging="709"/>
      </w:pPr>
      <w:r>
        <w:rPr>
          <w:rFonts w:ascii="Times New Roman" w:cs="David" w:hAnsi="Times New Roman"/>
          <w:b w:val="false"/>
          <w:i w:val="false"/>
          <w:sz w:val="24"/>
          <w:szCs w:val="24"/>
          <w:rt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sz w:val="24"/>
          <w:szCs w:val="24"/>
          <w:rtl/>
        </w:rPr>
        <w:t xml:space="preserve"> (עמ' ע242-ע246). האוניברסיטה הפתוחה.</w:t>
      </w:r>
    </w:p>
    <w:p>
      <w:pPr>
        <w:spacing w:after="120" w:line="360" w:lineRule="auto"/>
        <w:ind w:left="709" w:hanging="709"/>
        <w:jc w:val="left"/>
      </w:pPr>
      <w:r>
        <w:rPr>
          <w:rFonts w:ascii="Times New Roman" w:cs="David" w:hAnsi="Times New Roman"/>
          <w:i w:val="false"/>
          <w:sz w:val="24"/>
          <w:szCs w:val="24"/>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sz w:val="24"/>
          <w:szCs w:val="24"/>
        </w:rPr>
        <w:t xml:space="preserve">Canadian Journal of School Psychology, 32</w:t>
      </w:r>
      <w:r>
        <w:rPr>
          <w:rFonts w:ascii="Times New Roman" w:cs="David" w:hAnsi="Times New Roman"/>
          <w:i w:val="false"/>
          <w:sz w:val="24"/>
          <w:szCs w:val="24"/>
        </w:rPr>
        <w:t xml:space="preserve">(3-4), 265-281. https://doi.org/10.1177/0829573517707907</w:t>
      </w:r>
    </w:p>
    <w:p>
      <w:pPr>
        <w:spacing w:after="120" w:line="360" w:lineRule="auto"/>
        <w:ind w:left="709" w:hanging="709"/>
        <w:jc w:val="left"/>
      </w:pPr>
      <w:r>
        <w:rPr>
          <w:rFonts w:ascii="Times New Roman" w:cs="David" w:hAnsi="Times New Roman"/>
          <w:i w:val="false"/>
          <w:sz w:val="24"/>
          <w:szCs w:val="24"/>
        </w:rPr>
        <w:t xml:space="preserve">Dale, B. A., Rispoli, K., &amp; Ruble, L. A. (2022). Social emotional learning in young children with autism spectrum disorder. </w:t>
      </w:r>
      <w:r>
        <w:rPr>
          <w:rFonts w:ascii="Times New Roman" w:cs="David" w:hAnsi="Times New Roman"/>
          <w:i/>
          <w:iCs/>
          <w:sz w:val="24"/>
          <w:szCs w:val="24"/>
        </w:rPr>
        <w:t xml:space="preserve">Perspectives on Early Childhood Psychology and Education, 6</w:t>
      </w:r>
      <w:r>
        <w:rPr>
          <w:rFonts w:ascii="Times New Roman" w:cs="David" w:hAnsi="Times New Roman"/>
          <w:i w:val="false"/>
          <w:sz w:val="24"/>
          <w:szCs w:val="24"/>
        </w:rPr>
        <w:t xml:space="preserve">(2), Article 12. https://doi.org/10.58948/2834-8257.1021</w:t>
      </w:r>
    </w:p>
    <w:p>
      <w:pPr>
        <w:spacing w:after="120" w:line="360" w:lineRule="auto"/>
        <w:ind w:left="709" w:hanging="709"/>
        <w:jc w:val="left"/>
      </w:pPr>
      <w:r>
        <w:rPr>
          <w:rFonts w:ascii="Times New Roman" w:cs="David" w:hAnsi="Times New Roman"/>
          <w:i w:val="false"/>
          <w:sz w:val="24"/>
          <w:szCs w:val="24"/>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sz w:val="24"/>
          <w:szCs w:val="24"/>
        </w:rPr>
        <w:t xml:space="preserve">School Psychology Review, 49</w:t>
      </w:r>
      <w:r>
        <w:rPr>
          <w:rFonts w:ascii="Times New Roman" w:cs="David" w:hAnsi="Times New Roman"/>
          <w:i w:val="false"/>
          <w:sz w:val="24"/>
          <w:szCs w:val="24"/>
        </w:rPr>
        <w:t xml:space="preserve">(1), 60-73. https://doi.org/10.1080/2372966X.2020.1716636</w:t>
      </w:r>
    </w:p>
    <w:p>
      <w:pPr>
        <w:spacing w:after="120" w:line="360" w:lineRule="auto"/>
        <w:ind w:left="709" w:hanging="709"/>
        <w:jc w:val="left"/>
      </w:pPr>
      <w:r>
        <w:rPr>
          <w:rFonts w:ascii="Times New Roman" w:cs="David" w:hAnsi="Times New Roman"/>
          <w:i w:val="false"/>
          <w:sz w:val="24"/>
          <w:szCs w:val="24"/>
        </w:rPr>
        <w:t xml:space="preserve">Hebron, J., &amp; Humphrey, N. (2014). Mental health difficulties among young people on the autistic spectrum in mainstream secondary schools: A comparative study. </w:t>
      </w:r>
      <w:r>
        <w:rPr>
          <w:rFonts w:ascii="Times New Roman" w:cs="David" w:hAnsi="Times New Roman"/>
          <w:i/>
          <w:iCs/>
          <w:sz w:val="24"/>
          <w:szCs w:val="24"/>
        </w:rPr>
        <w:t xml:space="preserve">Journal of Research in Special Educational Needs, 14</w:t>
      </w:r>
      <w:r>
        <w:rPr>
          <w:rFonts w:ascii="Times New Roman" w:cs="David" w:hAnsi="Times New Roman"/>
          <w:i w:val="false"/>
          <w:sz w:val="24"/>
          <w:szCs w:val="24"/>
        </w:rPr>
        <w:t xml:space="preserve">(1), 22-32.</w:t>
      </w:r>
    </w:p>
    <w:p>
      <w:pPr>
        <w:spacing w:after="120" w:line="360" w:lineRule="auto"/>
        <w:ind w:left="709" w:hanging="709"/>
        <w:jc w:val="left"/>
      </w:pPr>
      <w:r>
        <w:rPr>
          <w:rFonts w:ascii="Times New Roman" w:cs="David" w:hAnsi="Times New Roman"/>
          <w:i w:val="false"/>
          <w:sz w:val="24"/>
          <w:szCs w:val="24"/>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sz w:val="24"/>
          <w:szCs w:val="24"/>
        </w:rPr>
        <w:t xml:space="preserve">Campbell Systematic Reviews, 16</w:t>
      </w:r>
      <w:r>
        <w:rPr>
          <w:rFonts w:ascii="Times New Roman" w:cs="David" w:hAnsi="Times New Roman"/>
          <w:i w:val="false"/>
          <w:sz w:val="24"/>
          <w:szCs w:val="24"/>
        </w:rPr>
        <w:t xml:space="preserve">(2), e1086. https://doi.org/10.1002/cl2.1086</w:t>
      </w:r>
    </w:p>
    <w:p>
      <w:pPr>
        <w:spacing w:after="120" w:line="360" w:lineRule="auto"/>
        <w:ind w:left="709" w:hanging="709"/>
        <w:jc w:val="left"/>
      </w:pPr>
      <w:r>
        <w:rPr>
          <w:rFonts w:ascii="Times New Roman" w:cs="David" w:hAnsi="Times New Roman"/>
          <w:i w:val="false"/>
          <w:sz w:val="24"/>
          <w:szCs w:val="24"/>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sz w:val="24"/>
          <w:szCs w:val="24"/>
        </w:rPr>
        <w:t xml:space="preserve">Brain Sciences, 11</w:t>
      </w:r>
      <w:r>
        <w:rPr>
          <w:rFonts w:ascii="Times New Roman" w:cs="David" w:hAnsi="Times New Roman"/>
          <w:i w:val="false"/>
          <w:sz w:val="24"/>
          <w:szCs w:val="24"/>
        </w:rPr>
        <w:t xml:space="preserve">(10), 1280. https://doi.org/10.3390/brainsci11101280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2026-08-20T19:00:20.136Z</dcterms:created>
  <dcterms:modified xsi:type="dcterms:W3CDTF">2026-08-20T19:00:20.155Z</dcterms:modified>
</cp:coreProperties>
</file>

<file path=docProps/custom.xml><?xml version="1.0" encoding="utf-8"?>
<Properties xmlns="http://schemas.openxmlformats.org/officeDocument/2006/custom-properties" xmlns:vt="http://schemas.openxmlformats.org/officeDocument/2006/docPropsVTypes"/>
</file>