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val="false"/>
          <w:bCs w:val="false"/>
          <w:sz w:val="26"/>
          <w:szCs w:val="26"/>
          <w:rtl/>
        </w:rPr>
        <w:t xml:space="preserve"/>
      </w:r>
    </w:p>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val="false"/>
          <w:bCs w:val="false"/>
          <w:sz w:val="28"/>
          <w:szCs w:val="28"/>
          <w:rtl/>
        </w:rPr>
        <w:t xml:space="preserve">הקריה האקדמית אונו</w:t>
      </w:r>
    </w:p>
    <w:p>
      <w:pPr>
        <w:bidi/>
        <w:spacing w:after="7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תקציר</w:t>
      </w:r>
    </w:p>
    <w:p>
      <w:pPr>
        <w:bidi/>
        <w:spacing w:after="160" w:line="360"/>
        <w:jc w:val="both"/>
      </w:pPr>
      <w:r>
        <w:rPr>
          <w:rFonts w:ascii="David" w:cs="David" w:eastAsia="David" w:hAnsi="David"/>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both"/>
      </w:pPr>
      <w:r>
        <w:rPr>
          <w:rFonts w:ascii="David" w:cs="David" w:eastAsia="David" w:hAnsi="David"/>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both"/>
      </w:pPr>
      <w:r>
        <w:rPr>
          <w:rFonts w:ascii="David" w:cs="David" w:eastAsia="David" w:hAnsi="David"/>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ובחברה הערבית בפרט, רחוקה מן האידיאל הרישומי. חלק ניכר מן המקרקעין ביישובים הערביים מוחזק ומועבר מדור לדור על יסוד הסכמות בעל פה, ייפויי כוח בלתי חוזרים ישנים, חלוקות משפחתיות בלתי כתובות והחזקה רבת שנים, בלא שהעסקאות הושלמו ברישום בפנקסי המקרקעין ולעיתים אף בלא שדווחו לרשויות המס. כאשר פורץ סכסוך בתוך המשפחה, בין אחים, בין יורשים או בין דורות, נדרש בית המשפט להכריע בזכויות על יסוד תשתית ראייתית חסרה, שבמרכזה מסמכים ישנים, עדויות בעל פה וראיות נסיבתיות. אין מדובר בתופעת שוליים: האוכלוסייה הערבית מונה למעלה מחמישית מאזרחי המדינה, ומרביתה מתגוררת ביישובים שבהם דפוסי ההחזקה המשפחתיים הם הנורמה.</w:t>
      </w:r>
    </w:p>
    <w:p>
      <w:pPr>
        <w:bidi/>
        <w:spacing w:after="160" w:line="360"/>
        <w:ind w:firstLine="420"/>
        <w:jc w:val="both"/>
      </w:pPr>
      <w:r>
        <w:rPr>
          <w:rFonts w:ascii="David" w:cs="David" w:eastAsia="David" w:hAnsi="David"/>
          <w:sz w:val="24"/>
          <w:szCs w:val="24"/>
          <w:rtl/>
        </w:rPr>
        <w:t xml:space="preserve">עבודה זו בוחנת, מתוך עמדה ביקורתית, כיצד מכריעים בתי המשפט בישראל בזכויות במקרקעין לא רשומים בסכסוכים פנים משפחתיים בחברה הערבית. הטענה המרכזית שתפותח היא כפולה: ראשית, כי הדין הישראלי "האורתודוקסי", זה של סעיפים 6–10 לחוק המקרקעין, מניח שוק נדל"ן מודרני, מערבי ומסחרי, ומתעלם מפרקטיקות קהילתיות ומסורתיות של החזקה והעברה; שנית, כי הכלים שפיתחה הפסיקה כדי למלא את החלל ("זעקת ההגינות", הזכות שביושר, הרישיון הבלתי הדיר)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שיטה ערבית מודרנית המתמודדת עם שיעורי אי רישום עצומים; והמשפט השרעי האסלאמי, התשתית ההיסטורית והתרבותית שעליה צמחו דפוסי ההחזקה הבלתי פורמליים הרווחים בחברה הערבית בישראל. הבחירה בשלוש שיטות אלה איננה מקרית: הראשונה היא מקור הדוקטרינה שהפסיקה הישראלית מפעילה בפועל, השנייה מציגה מקרה מבחן של אותה בעיה עצמה בקנה מידה לאומי, והשלישית מסבירה את התודעה הקניינית של הצדדים לסכסוכים הנדונים.</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jc w:val="both"/>
      </w:pPr>
      <w:r>
        <w:rPr>
          <w:rFonts w:ascii="David" w:cs="David" w:eastAsia="David" w:hAnsi="David"/>
          <w:sz w:val="24"/>
          <w:szCs w:val="24"/>
          <w:rtl/>
        </w:rPr>
        <w:t xml:space="preserve">העבודה משלבת ניתוח דוקטרינרי 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r>
        <w:rPr>
          <w:rFonts w:ascii="David" w:cs="David" w:eastAsia="David" w:hAnsi="David"/>
          <w:sz w:val="24"/>
          <w:szCs w:val="24"/>
          <w:rtl/>
        </w:rPr>
        <w:t xml:space="preserve"> חומר הגלם המחקרי כולל את החקיקה הרלוונטית על גלגוליה ההיסטוריים, פסיקה של בית המשפט העליון לצד פסיקה עדכנית של בתי המשפט לענייני משפחה ושל הערכאות הדיוניות בצפון, וספרות מחקרית עברית ולועזית. יוער גבול אחד: העבודה איננה מחקר אמפירי, והיא אינה מתיימרת לכמת את היקף התופעה; טענותיה הן דוקטרינריות ומבניות, והנתונים הדמוגרפיים והכלכליים המובאים בה משמשים רקע בלבד.</w:t>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(הרישום הקונסטיטוטיבי, דרישת הכתב, מדרג הראיות שבמרשם)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 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(הזכות שביושר, ייפוי הכוח הבלתי חוזר, תום הלב, דיני המתנה והרישיון)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(המשפט המקובל, המשפט המצרי והמשפט השרעי)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יהא זה הסכם מכר, תצהיר מתנה או ייפוי כוח בלתי חוזר,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זכותו שרירה אף אם הרישום לא היה נכון.</w:t>
      </w:r>
      <w:r>
        <w:rPr>
          <w:rStyle w:val="FootnoteReference"/>
        </w:rPr>
        <w:footnoteReference w:id="8"/>
      </w:r>
      <w:r>
        <w:rPr>
          <w:rFonts w:ascii="David" w:cs="David" w:eastAsia="David" w:hAnsi="David"/>
          <w:sz w:val="24"/>
          <w:szCs w:val="24"/>
          <w:rtl/>
        </w:rPr>
        <w:t xml:space="preserve"> ובצד אלה ניצבת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bidi/>
        <w:spacing w:after="160" w:line="360"/>
        <w:ind w:firstLine="420"/>
        <w:jc w:val="both"/>
      </w:pPr>
      <w:r>
        <w:rPr>
          <w:rFonts w:ascii="David" w:cs="David" w:eastAsia="David" w:hAnsi="David"/>
          <w:sz w:val="24"/>
          <w:szCs w:val="24"/>
          <w:rtl/>
        </w:rPr>
        <w:t xml:space="preserve">כדי להבין מה מונח על הכף למי שנותר מחוץ למרשם, יש להזכיר את המסד העיוני של ההבחנה בין שני סוגי הזכויות. הזכות הקניינית פועלת כלפי כולי עלמא: היא עוברת בירושה, ניתנת להעברה, משתכללת כלפי נושים וצדדים שלישיים, ומקנה לבעליה עדיפות בהתמודדות על הנכס עצמו. הזכות האישית, לעומתה, פועלת בין הצדדים בלבד: כוחה יפה כלפי החייב ועיזבונו, אך היא נסוגה מפני מי שרכש זכות קניינית בנכס, ובחדלות פירעון היא מעמידה את בעליה בשורת הנושים הכללית.</w:t>
      </w:r>
      <w:r>
        <w:rPr>
          <w:rStyle w:val="FootnoteReference"/>
        </w:rPr>
        <w:footnoteReference w:id="10"/>
      </w:r>
      <w:r>
        <w:rPr>
          <w:rFonts w:ascii="David" w:cs="David" w:eastAsia="David" w:hAnsi="David"/>
          <w:sz w:val="24"/>
          <w:szCs w:val="24"/>
          <w:rtl/>
        </w:rPr>
        <w:t xml:space="preserve"> המחזיק הבלתי רשום חי אפוא בטווח שבין שני הקצוות: הדין הפורמלי מסווג את זכותו כאישית, אך חייו מתנהלים כשל בעלים. פרק ג יראה כיצד הפסיקה מיקמה אותו, בהדרגה, קרוב יותר לקוטב הקנייני; אך נקודת המוצא החוקית נותרה בעינה, והיא שקובעת את מאזן הכוחות בכל סכסוך.</w:t>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jc w:val="both"/>
      </w:pPr>
      <w:r>
        <w:rPr>
          <w:rFonts w:ascii="David" w:cs="David" w:eastAsia="David" w:hAnsi="David"/>
          <w:sz w:val="24"/>
          <w:szCs w:val="24"/>
          <w:rtl/>
        </w:rPr>
        <w:t xml:space="preserve">שיטת הרישום הישראלית היא שיטה דואלית. לצד פנקסי הזכויות של המקרקעין המוסדרים, פרי הליכי הסדר לפי פקודת הסדר זכויות במקרקעין [נוסח חדש], התשכ"ט–1969, שמקורם בפקודת קרקעות (סידור זכות הקנין) המנדטורית משנת 1928, מתקיימים פנקסי שטרות של מקרקעין לא מוסדרים, שהרישום בהם ראייתי בלבד וניתן לסתירה.</w:t>
      </w:r>
      <w:r>
        <w:rPr>
          <w:rStyle w:val="FootnoteReference"/>
        </w:rPr>
        <w:footnoteReference w:id="11"/>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זוהי הוראה דרמטית, שהפכה את אי ההשתתפות בהליכי ההסדר לאובדן זכויות של ממש.</w:t>
      </w:r>
      <w:r>
        <w:rPr>
          <w:rStyle w:val="FootnoteReference"/>
        </w:rPr>
        <w:footnoteReference w:id="12"/>
      </w:r>
      <w:r>
        <w:rPr>
          <w:rFonts w:ascii="David" w:cs="David" w:eastAsia="David" w:hAnsi="David"/>
          <w:sz w:val="24"/>
          <w:szCs w:val="24"/>
          <w:rtl/>
        </w:rPr>
        <w:t xml:space="preserve"> ולדואליות נפקות מעשית ישירה בסכסוכים הנחקרים: במקרקעין מוסדרים ניצב הטוען לזכות בלתי רשומה מול "ראיה חותכת" ומול שלילת ההתיישנות שבסעיף 159(ב) לחוק; במקרקעין לא מוסדרים הרישום ניתן לסתירה וההתיישנות אפשרית; ובמקרקעין המצויים בעיצומם של הליכי הסדר מתרכזות התביעות בידי פקיד ההסדר, ואין לרשום זכויות עד תומם. שלושה משטרים שונים, ולעיתים שלושתם מתקיימים בחלקות סמוכות של אותה משפחה עצמה.</w:t>
      </w:r>
      <w:r>
        <w:rPr>
          <w:rStyle w:val="FootnoteReference"/>
        </w:rPr>
        <w:footnoteReference w:id="13"/>
      </w:r>
    </w:p>
    <w:p>
      <w:pPr>
        <w:bidi/>
        <w:spacing w:after="160" w:line="360"/>
        <w:ind w:firstLine="420"/>
        <w:jc w:val="both"/>
      </w:pPr>
      <w:r>
        <w:rPr>
          <w:rFonts w:ascii="David" w:cs="David" w:eastAsia="David" w:hAnsi="David"/>
          <w:sz w:val="24"/>
          <w:szCs w:val="24"/>
          <w:rtl/>
        </w:rPr>
        <w:t xml:space="preserve">ההבדל בין שני הפנקסים אינו טכני אלא מבני. פנקס הזכויות של המקרקעין המוסדרים מאורגן לפי הנכס: לכל חלקה דף רישום משלה, המרכז את מלוא הזכויות בה, וזהו התנאי לכך שהמרשם ישמש "מראה" הניתנת לעיון מהיר. פנקס השטרות של המקרקעין הלא מוסדרים מאורגן, לעומתו, לפי העסקאות: הוא רושם שטרות שנערכו, ולא תמונת בעלות מלאה, ולכן מי שמבקש לברר את מצב הזכויות נדרש להתחקות ידנית אחר שרשרת השטרות ולהצליב אותה עם מפות ותשריטים שאינם תמיד מדויקים. במקרקעין כאלה נשלל גם כלי הביניים שנדון לעיל: הערת אזהרה, ואף עסקאות קנייניות אחרות, אינן ניתנות לרישום כל עוד לא הושלם ההסדר, והצדדים נותרים במישור החוזי בלבד.</w:t>
      </w:r>
      <w:r>
        <w:rPr>
          <w:rStyle w:val="FootnoteReference"/>
        </w:rPr>
        <w:footnoteReference w:id="14"/>
      </w:r>
      <w:r>
        <w:rPr>
          <w:rFonts w:ascii="David" w:cs="David" w:eastAsia="David" w:hAnsi="David"/>
          <w:sz w:val="24"/>
          <w:szCs w:val="24"/>
          <w:rtl/>
        </w:rPr>
        <w:t xml:space="preserve"> לכך נודעת חשיבות מכרעת להבנת התופעה הנחקרת: ביישובים שבהם ההסדר לא הושלם, אי הרישום איננו בהכרח בחירה של המשפחה אלא מגבלה אובייקטיבית של הדין, שאינו מעמיד לרשותה כלי רישום כלל. הביקורת שתוצג להלן מכוונת אפוא לא רק אל מי שנמנע מרישום, אלא גם אל המדינה, שהותירה חלקים מן המרחב מחוץ למערכת הרישום במשך עשורים.</w:t>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jc w:val="both"/>
      </w:pPr>
      <w:r>
        <w:rPr>
          <w:rFonts w:ascii="David" w:cs="David" w:eastAsia="David" w:hAnsi="David"/>
          <w:sz w:val="24"/>
          <w:szCs w:val="24"/>
          <w:rtl/>
        </w:rPr>
        <w:t xml:space="preserve">המבנה שתואר לעיל, רישום קונסטיטוטיבי, כתב מהותי, ראיה חותכת ותקנת שוק,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היא חריג מסוכן שיש למזערו. אלא שהחוק החיל את המבנה הזה, באחידות עיוורת, גם על מציאות קניינית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5"/>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(תקנת השוק, הראיה החותכת, עדיפות הרישום בעסקאות נוגדות)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זכויות שביושר, השתקים ורישיונות,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w:t>
      </w:r>
    </w:p>
    <w:p>
      <w:pPr>
        <w:bidi/>
        <w:spacing w:after="160" w:line="360"/>
        <w:ind w:firstLine="420"/>
        <w:jc w:val="both"/>
      </w:pPr>
      <w:r>
        <w:rPr>
          <w:rFonts w:ascii="David" w:cs="David" w:eastAsia="David" w:hAnsi="David"/>
          <w:sz w:val="24"/>
          <w:szCs w:val="24"/>
          <w:rtl/>
        </w:rPr>
        <w:t xml:space="preserve">ראוי להטעים: הביקורת אינה מכוונת נגד רעיון המרשם כשלעצמו. מרשם זכויות אמין הוא נכס ציבורי ממדרגה ראשונה, והחברה הערבית היא אולי הנזקקת הגדולה ביותר לוודאות שהוא מספק. הביקורת מכוונת נגד ההנחה שדי בקביעת החובה הרישומית כדי שהרישום יקרה מעצמו, ונגד העיוורון של החוק לעלויות הכניסה בפועל: הליכי הסדר שלא הושלמו, חלוקות שאינן ניתנות לרישום תכנונית, וחבויות מס היסטוריות החוסמות את השער.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jc w:val="both"/>
      </w:pPr>
      <w:r>
        <w:rPr>
          <w:rFonts w:ascii="David" w:cs="David" w:eastAsia="David" w:hAnsi="David"/>
          <w:sz w:val="24"/>
          <w:szCs w:val="24"/>
          <w:rtl/>
        </w:rPr>
        <w:t xml:space="preserve">תופעת אי הרישום בחברה הערבית אינה "עצלות רישומית"; היא תוצר היסטורי ומבני. תחת השלטון העות׳מאני סווגו הקרקעות על פי חוק הקרקעות העות׳מאני משנת 1858 לקטגוריות (מוּלְכּ, מירי, וַקְף, מַתְרוּכֶּה ומַוַואת), כאשר עבירת קרקעות מסוג מירי חייבה רישום בספרי הטאבו (טאפו).</w:t>
      </w:r>
      <w:r>
        <w:rPr>
          <w:rStyle w:val="FootnoteReference"/>
        </w:rPr>
        <w:footnoteReference w:id="16"/>
      </w:r>
      <w:r>
        <w:rPr>
          <w:rFonts w:ascii="David" w:cs="David" w:eastAsia="David" w:hAnsi="David"/>
          <w:sz w:val="24"/>
          <w:szCs w:val="24"/>
          <w:rtl/>
        </w:rPr>
        <w:t xml:space="preserve"> אלא שבפועל נמנעו רבים מרישום: בשל מס הרישום, החשש מגיוס לצבא ומחשיפה לשלטונות, והנוהג לרשום קרקעות על שם נציג המשפחה או החַמוּלָה. דפוס ה"מוּשאע", בעלות משותפת בלתי מחולקת שבה מוחזקות החלקות במשותף ומעובדות ברוטציה או בחלוקה פנימית מוסכמת, הנציח אף הוא את הפער בין ההחזקה בפועל לבין הרישום.</w:t>
      </w:r>
      <w:r>
        <w:rPr>
          <w:rStyle w:val="FootnoteReference"/>
        </w:rPr>
        <w:footnoteReference w:id="17"/>
      </w:r>
      <w:r>
        <w:rPr>
          <w:rFonts w:ascii="David" w:cs="David" w:eastAsia="David" w:hAnsi="David"/>
          <w:sz w:val="24"/>
          <w:szCs w:val="24"/>
          <w:rtl/>
        </w:rPr>
        <w:t xml:space="preserve"> הליכי ההסדר, המנדטוריים והישראליים, שנועדו לחסל את אי 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8"/>
      </w:r>
      <w:r>
        <w:rPr>
          <w:rFonts w:ascii="David" w:cs="David" w:eastAsia="David" w:hAnsi="David"/>
          <w:sz w:val="24"/>
          <w:szCs w:val="24"/>
          <w:rtl/>
        </w:rPr>
        <w:t xml:space="preserve"> התולדה המצטברת ניכרת עד היום בשלושה מופעים: חלקות מוסדרות הרשומות על שם סב או אב שנפטרו לפני דורות, שצווי הירושה בעניינם לא נרשמו מעולם; חלקות שההסדר בעניינן טרם הושלם, והרישום בהן ראייתי בלבד; וחלקות שנרשמו בהסדר על שם המדינה או רשות הפיתוח בעוד משפחות מחזיקות בהן בפועל. כל אחד מן המופעים מזמן סוג אחר של התדיינות, אך המשותף לכולם הוא שהמרשם חדל לתאר את המציאות זמן רב לפני שפרץ הסכסוך.</w:t>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 פה והחלוקה הפנימית</w:t>
      </w:r>
    </w:p>
    <w:p>
      <w:pPr>
        <w:bidi/>
        <w:spacing w:after="160" w:line="360"/>
        <w:jc w:val="both"/>
      </w:pPr>
      <w:r>
        <w:rPr>
          <w:rFonts w:ascii="David" w:cs="David" w:eastAsia="David" w:hAnsi="David"/>
          <w:sz w:val="24"/>
          <w:szCs w:val="24"/>
          <w:rtl/>
        </w:rPr>
        <w:t xml:space="preserve">על המצע ההיסטורי נשתלו, לאחר קום המדינה, שלושה גורמים מודרניים. הראשון,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התרבות המשפטית הפנים 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מגבלות תכנוניות המקשות על פיצול חלקות ורישום חלוקות בעין.</w:t>
      </w:r>
      <w:r>
        <w:rPr>
          <w:rStyle w:val="FootnoteReference"/>
        </w:rPr>
        <w:footnoteReference w:id="19"/>
      </w:r>
      <w:r>
        <w:rPr>
          <w:rFonts w:ascii="David" w:cs="David" w:eastAsia="David" w:hAnsi="David"/>
          <w:sz w:val="24"/>
          <w:szCs w:val="24"/>
          <w:rtl/>
        </w:rPr>
        <w:t xml:space="preserve"> התוצאה: שכבות של עסקאות (מכר, מתנה, ירושה, חלוקה) שכולן "תלויות באוויר" האובליגטורי ואינן נראות במרשם.</w:t>
      </w:r>
      <w:r>
        <w:rPr>
          <w:rStyle w:val="FootnoteReference"/>
        </w:rPr>
        <w:footnoteReference w:id="20"/>
      </w:r>
    </w:p>
    <w:p>
      <w:pPr>
        <w:bidi/>
        <w:spacing w:after="160" w:line="360"/>
        <w:ind w:firstLine="420"/>
        <w:jc w:val="both"/>
      </w:pPr>
      <w:r>
        <w:rPr>
          <w:rFonts w:ascii="David" w:cs="David" w:eastAsia="David" w:hAnsi="David"/>
          <w:sz w:val="24"/>
          <w:szCs w:val="24"/>
          <w:rtl/>
        </w:rPr>
        <w:t xml:space="preserve">ההקשר הדמוגרפי והחברתי מבהיר את סדרי הגודל: בסוף שנת 2022 מנתה האוכלוסייה הערבית בישראל כ-2.04 מיליון נפש, כ-21.1% מכלל האוכלוסייה, וכשלושה רבעים מן התושבים הערבים מתגוררים ביישובים ערביים הומוגניים, בכ-163 יישובים.</w:t>
      </w:r>
      <w:r>
        <w:rPr>
          <w:rStyle w:val="FootnoteReference"/>
        </w:rPr>
        <w:footnoteReference w:id="21"/>
      </w:r>
      <w:r>
        <w:rPr>
          <w:rFonts w:ascii="David" w:cs="David" w:eastAsia="David" w:hAnsi="David"/>
          <w:sz w:val="24"/>
          <w:szCs w:val="24"/>
          <w:rtl/>
        </w:rPr>
        <w:t xml:space="preserve"> המבנה המשפחתי מעצב גם את המבנה הפיזי: המשפחה הערבית הממוצעת רחבה מן הממוצע הכללי, והיא מאורגנת סביב המשפחה המורחבת והחמולה; תצורת המגורים האופיינית היא של בנייה משפחתית מדורגת, שבה אב המשפחה מקים את הבניין או מקצה מגרשים, ובניו מוסיפים קומות או בונים בסמוך, כך שהשכונה משקפת את האילן המשפחתי.</w:t>
      </w:r>
      <w:r>
        <w:rPr>
          <w:rStyle w:val="FootnoteReference"/>
        </w:rPr>
        <w:footnoteReference w:id="22"/>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23"/>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 שוק נבדל, המעוצב במידה מכרעת על ידי עסקאות פנים משפחתיות בלתי פורמליות וזכויות קניין בלתי מוסדרות, במנותק ממנגנוני השוק הרגילים; העדפת העסקה הפנים משפחתית איננה רק עניין תרבותי אלא גם כלכלי, שכן היא חוסכת את עלויות הפורמליזציה כולן.</w:t>
      </w:r>
      <w:r>
        <w:rPr>
          <w:rStyle w:val="FootnoteReference"/>
        </w:rPr>
        <w:footnoteReference w:id="24"/>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jc w:val="both"/>
      </w:pPr>
      <w:r>
        <w:rPr>
          <w:rFonts w:ascii="David" w:cs="David" w:eastAsia="David" w:hAnsi="David"/>
          <w:sz w:val="24"/>
          <w:szCs w:val="24"/>
          <w:rtl/>
        </w:rPr>
        <w:t xml:space="preserve">הסכסוך הפנים משפחתי הטיפוסי מבשיל בשלושה שלבים. בשלב הראשון, "שלב ההרמוניה", מתבצעת ההעברה הבלתי פורמלית: האב מחלק בעל פה את חלקותיו בין בניו, או מוכר לאחיו חלקה כנגד ייפוי כוח בלתי חוזר; הכל יודעים, איש אינו רושם. בשלב השני, "שלב ההשקעה", המקבל בונה את ביתו, מוציא היתר בנייה בהסכמת בני המשפחה, משלם ארנונה, נוטע ומגדר; ההסתמכות מעמיקה, והתיעוד היחיד הוא מנהלי ונסיבתי. בשלב השלישי, "שלב הקרע", נפטר המקנה, ובני הדור השני או השלישי, שלא היו צד להסכמות ולעיתים לא ידעו עליהן, מגלים כי המרשם, או צו הירושה, מקנה להם על הנייר את שחולק זה מכבר בפועל. התביעה מוגשת אז, עשרות שנים לאחר האירועים, כשעדי המפתח אינם עוד בין החיים.</w:t>
      </w:r>
      <w:r>
        <w:rPr>
          <w:rStyle w:val="FootnoteReference"/>
        </w:rPr>
        <w:footnoteReference w:id="25"/>
      </w:r>
    </w:p>
    <w:p>
      <w:pPr>
        <w:bidi/>
        <w:spacing w:after="160" w:line="360"/>
        <w:ind w:firstLine="420"/>
        <w:jc w:val="both"/>
      </w:pPr>
      <w:r>
        <w:rPr>
          <w:rFonts w:ascii="David" w:cs="David" w:eastAsia="David" w:hAnsi="David"/>
          <w:sz w:val="24"/>
          <w:szCs w:val="24"/>
          <w:rtl/>
        </w:rPr>
        <w:t xml:space="preserve">לשלב הקרע יש גם דפוס דיוני אופייני, שהספרות עמדה עליו: התביעה מנוסחת תכופות כתביעת סילוק יד, המציגה את המחזיק כפולש נטול זכויות, אף שברקע ניצבת הרשאה משפחתית רבת שנים; והנתבע, מצדו, משיב בטענת בעלות מכוח העסקה ההיסטורית, וטענת הרישיון נטענת אצלו רק כקו הגנה חלופי. ניסוח כתבי הטענות משקף אפוא את מלוא המרחק שבין הנרטיבים, ובתי המשפט נדרשים תחילה לחלץ מהם את השאלה האמיתית: לא "פולש או בעלים", אלא מה טיבה של ההסכמה המשפחתית שקדמה לקרע.</w:t>
      </w:r>
      <w:r>
        <w:rPr>
          <w:rStyle w:val="FootnoteReference"/>
        </w:rPr>
        <w:footnoteReference w:id="26"/>
      </w:r>
      <w:r>
        <w:rPr>
          <w:rFonts w:ascii="David" w:cs="David" w:eastAsia="David" w:hAnsi="David"/>
          <w:sz w:val="24"/>
          <w:szCs w:val="24"/>
          <w:rtl/>
        </w:rPr>
        <w:t xml:space="preserve"> 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(הם שכנים, קרובים ולעיתים שותפים בחלקות נוספות),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 קניינית</w:t>
      </w:r>
    </w:p>
    <w:p>
      <w:pPr>
        <w:bidi/>
        <w:spacing w:after="160" w:line="36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 מהותי: משנכרת חוזה מכר מחייב, קמה לקונה "זכות שביושר תוצרת הארץ", זכות מעין קניינית הפועלת כלפי צדדים שלישיים מסוימים, ולפיכך עיקול שהוטל על ידי נושה של המוכר לאחר ההתחייבות אינו גובר על זכות הקונה, אף אם הקונה לא רשם הערת אזהרה.</w:t>
      </w:r>
      <w:r>
        <w:rPr>
          <w:rStyle w:val="FootnoteReference"/>
        </w:rPr>
        <w:footnoteReference w:id="27"/>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8"/>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התחייבות שלא הושלמה ברישום, והועדפה זכות הילדים על פני עיקולים שהטילו נושי האב לאחר מכן.</w:t>
      </w:r>
      <w:r>
        <w:rPr>
          <w:rStyle w:val="FootnoteReference"/>
        </w:rPr>
        <w:footnoteReference w:id="29"/>
      </w:r>
      <w:r>
        <w:rPr>
          <w:rFonts w:ascii="David" w:cs="David" w:eastAsia="David" w:hAnsi="David"/>
          <w:sz w:val="24"/>
          <w:szCs w:val="24"/>
          <w:rtl/>
        </w:rPr>
        <w:t xml:space="preserve"> חשיבותה של ההלכה לענייננו מכרעת: היא ההופכת את המחזיק הבלתי רשום, אותו בן משפחה שקנה, קיבל או "חולק לו" מגרש לפני עשרות שנים, מבעל טענה חוזית גרידא לבעל מעמד קנייני מהותי, המוגן מפני נושי המקנה. חשיבות שנייה, שאינה פחותה, נוגעת לממד הזמן: הזכות שביושר אינה נשחקת בחלוף השנים, שכן כל עוד המקנה או חליפיו אינם כופרים בה אין תביעתה מתיישנת, והיא עומדת גם ליורשי הקונה כלפי יורשי המוכר.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30"/>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כלומר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 הרישום.</w:t>
      </w:r>
      <w:r>
        <w:rPr>
          <w:rStyle w:val="FootnoteReference"/>
        </w:rPr>
        <w:footnoteReference w:id="31"/>
      </w:r>
      <w:r>
        <w:rPr>
          <w:rFonts w:ascii="David" w:cs="David" w:eastAsia="David" w:hAnsi="David"/>
          <w:sz w:val="24"/>
          <w:szCs w:val="24"/>
          <w:rtl/>
        </w:rPr>
        <w:t xml:space="preserve"> לקביעה זו חשיבות מעשית ראשונה במעלה בענייננו: בסכסוכים הפנים משפחתיים איש אינו רושם הערות אזהרה, ובמקרקעין שאינם רשומים כלל אף אין אפשרות לרשמן,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jc w:val="both"/>
      </w:pPr>
      <w:r>
        <w:rPr>
          <w:rFonts w:ascii="David" w:cs="David" w:eastAsia="David" w:hAnsi="David"/>
          <w:sz w:val="24"/>
          <w:szCs w:val="24"/>
          <w:rtl/>
        </w:rPr>
        <w:t xml:space="preserve">בסכסוכים הפנים משפחתיים, המסמך היחיד הקיים על פי רוב אינו חוזה ערוך כדין אלא ייפוי כוח נוטריוני בלתי חוזר, שנחתם לפני עשרות שנים לטובת הקונה או המקבל. ויסמן תיאר את התופעה במאמר שהקדיש לה: ייפוי הכוח הבלתי חוזר משמש בפרקטיקה הישראלית "תחליף לבעלות", מכשיר שבעליו מחזיק בו כדרך שבעלים מחזיק בשטרו, והעברתו מיד ליד ממלאת בפועל את התפקיד הכלכלי של העברת הנכס עצמו.</w:t>
      </w:r>
      <w:r>
        <w:rPr>
          <w:rStyle w:val="FootnoteReference"/>
        </w:rPr>
        <w:footnoteReference w:id="32"/>
      </w:r>
      <w:r>
        <w:rPr>
          <w:rFonts w:ascii="David" w:cs="David" w:eastAsia="David" w:hAnsi="David"/>
          <w:sz w:val="24"/>
          <w:szCs w:val="24"/>
          <w:rtl/>
        </w:rPr>
        <w:t xml:space="preserve">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(זהות הצדדים, זיהוי הממכר, טיב העסקה והתמורה) ומשתקפת בו גמירות דעת.</w:t>
      </w:r>
      <w:r>
        <w:rPr>
          <w:rStyle w:val="FootnoteReference"/>
        </w:rPr>
        <w:footnoteReference w:id="33"/>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34"/>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35"/>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36"/>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ושאלת סיווגו של מסמך קונקרטי היא שאלה פרשנית נכבדה.</w:t>
      </w:r>
      <w:r>
        <w:rPr>
          <w:rStyle w:val="FootnoteReference"/>
        </w:rPr>
        <w:footnoteReference w:id="37"/>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וממנו רשאי המרשה לחזור בו בכל עת; ויש ייפוי כוח הניתן לביצוע עסקה שאדם אחר מעוניין בה, ובידי אותו אחר "קנויה הזכות שהעסקה תבוצע", וממנו אין המרשה יכול לחזור בו, שכן הביטול יפגע בזכות שכבר אינה שלו.</w:t>
      </w:r>
      <w:r>
        <w:rPr>
          <w:rStyle w:val="FootnoteReference"/>
        </w:rPr>
        <w:footnoteReference w:id="38"/>
      </w:r>
      <w:r>
        <w:rPr>
          <w:rFonts w:ascii="David" w:cs="David" w:eastAsia="David" w:hAnsi="David"/>
          <w:sz w:val="24"/>
          <w:szCs w:val="24"/>
          <w:rtl/>
        </w:rPr>
        <w:t xml:space="preserve"> שנית, כותרת "בלתי חוזר" אינה מילת קסם, וברק אף מטעים כי הכינוי עצמו "אינו מוצלח": אי ההדירות היא תוצאת האינטרס המובטח, לא תולדת הכותרת שנבחרה למסמך.</w:t>
      </w:r>
      <w:r>
        <w:rPr>
          <w:rStyle w:val="FootnoteReference"/>
        </w:rPr>
        <w:footnoteReference w:id="39"/>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40"/>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ואף רישום הערת אזהרה בלבד, מקום שהוא אפשרי, אינו מקנה הגנה זו.</w:t>
      </w:r>
      <w:r>
        <w:rPr>
          <w:rStyle w:val="FootnoteReference"/>
        </w:rPr>
        <w:footnoteReference w:id="41"/>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jc w:val="both"/>
      </w:pPr>
      <w:r>
        <w:rPr>
          <w:rFonts w:ascii="David" w:cs="David" w:eastAsia="David" w:hAnsi="David"/>
          <w:sz w:val="24"/>
          <w:szCs w:val="24"/>
          <w:rtl/>
        </w:rPr>
        <w:t xml:space="preserve">מה דינם של אותם מקרים, שכיחים בסכסוך הפנים משפחתי, שבהם אין אפילו ייפוי כוח, אלא הסכמה בעל 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 פה הסכם קומבינציה, הצדדים קיימוהו במלואו (הבתים נבנו והחזקות נמסרו)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42"/>
      </w:r>
      <w:r>
        <w:rPr>
          <w:rFonts w:ascii="David" w:cs="David" w:eastAsia="David" w:hAnsi="David"/>
          <w:sz w:val="24"/>
          <w:szCs w:val="24"/>
          <w:rtl/>
        </w:rPr>
        <w:t xml:space="preserve"> הלכה זו, שנועדה מלכתחילה למנוע שימוש ציני בדרישת הצורה, היא כלי מרכזי בסכסוכים משפחתיים, שבהם יחסי האמון הם ההסבר הטבעי להיעדר המסמכים, והסתמכות רבת שנים (בניית בית, השקעה, מגורים) היא שיוצרת את זעקת ההגינות. ביסודה ניצבת התנגשות עקרונית שהספרות עמדה עליה: מחד גיסא עומדת התכלית ההרתעתית וההגנתית של דרישת הכתב, ומאידך גיסא עומד החשש שהדרישה עצמה תהפוך כלי בידי מתקשר חסר תום לב, המבקש להתנער מהתחייבות שקוימה. הפתרונות האפשריים נעים בין שלילת אכיפתו של החוזה תוך פיצוי המסתמך, לבין אכיפת החוזה חרף הפגם הצורני, והלכת </w:t>
      </w:r>
      <w:r>
        <w:rPr>
          <w:rFonts w:ascii="David" w:cs="David" w:eastAsia="David" w:hAnsi="David"/>
          <w:i/>
          <w:iCs/>
          <w:sz w:val="24"/>
          <w:szCs w:val="24"/>
          <w:rtl/>
        </w:rPr>
        <w:t xml:space="preserve">קלמר</w:t>
      </w:r>
      <w:r>
        <w:rPr>
          <w:rFonts w:ascii="David" w:cs="David" w:eastAsia="David" w:hAnsi="David"/>
          <w:sz w:val="24"/>
          <w:szCs w:val="24"/>
          <w:rtl/>
        </w:rPr>
        <w:t xml:space="preserve"> בחרה, למקרים החריגים, בשנייה.</w:t>
      </w:r>
      <w:r>
        <w:rPr>
          <w:rStyle w:val="FootnoteReference"/>
        </w:rPr>
        <w:footnoteReference w:id="43"/>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היא צמצמה את מספר הפרטים הנדרשים, פיתחה מנגנוני "השלמה נורמטיבית" מכוח הוראות חוק ונוהג, והתירה להשלים יסוד חסר אף בראיות חיצוניות שבעל פה, עד שדי כיום, ככלל, במסמך דל פרטים המעיד כי הצדדים גמרו בדעתם להתקשר.</w:t>
      </w:r>
      <w:r>
        <w:rPr>
          <w:rStyle w:val="FootnoteReference"/>
        </w:rPr>
        <w:footnoteReference w:id="44"/>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ואין הצדקה להפוך את דרישת הכתב למלכודת בעבורם.</w:t>
      </w:r>
      <w:r>
        <w:rPr>
          <w:rStyle w:val="FootnoteReference"/>
        </w:rPr>
        <w:footnoteReference w:id="45"/>
      </w:r>
      <w:r>
        <w:rPr>
          <w:rFonts w:ascii="David" w:cs="David" w:eastAsia="David" w:hAnsi="David"/>
          <w:sz w:val="24"/>
          <w:szCs w:val="24"/>
          <w:rtl/>
        </w:rPr>
        <w:t xml:space="preserve"> גם לאחר הלכת </w:t>
      </w:r>
      <w:r>
        <w:rPr>
          <w:rFonts w:ascii="David" w:cs="David" w:eastAsia="David" w:hAnsi="David"/>
          <w:i/>
          <w:iCs/>
          <w:sz w:val="24"/>
          <w:szCs w:val="24"/>
          <w:rtl/>
        </w:rPr>
        <w:t xml:space="preserve">קלמר</w:t>
      </w:r>
      <w:r>
        <w:rPr>
          <w:rFonts w:ascii="David" w:cs="David" w:eastAsia="David" w:hAnsi="David"/>
          <w:sz w:val="24"/>
          <w:szCs w:val="24"/>
          <w:rtl/>
        </w:rPr>
        <w:t xml:space="preserve"> לא קפאה ההתפתחות: בעניין </w:t>
      </w:r>
      <w:r>
        <w:rPr>
          <w:rFonts w:ascii="David" w:cs="David" w:eastAsia="David" w:hAnsi="David"/>
          <w:i/>
          <w:iCs/>
          <w:sz w:val="24"/>
          <w:szCs w:val="24"/>
          <w:rtl/>
        </w:rPr>
        <w:t xml:space="preserve">שם טוב</w:t>
      </w:r>
      <w:r>
        <w:rPr>
          <w:rFonts w:ascii="David" w:cs="David" w:eastAsia="David" w:hAnsi="David"/>
          <w:sz w:val="24"/>
          <w:szCs w:val="24"/>
          <w:rtl/>
        </w:rPr>
        <w:t xml:space="preserve"> יושמה זעקת ההגינות על הסכמה בעל פה למכר מקרקעין בין בני משפחה, שקוימה בתשלומים ובהסתמכות; ובצדה נשמעו בבית המשפט העליון גם קולות של ריסון, שהזהירו מפני "מדרון חלקלק" שיהפוך את הכתב לחריג ואת החריג לכלל, וביקשו לצמצם את ההלכה למקרים של מעשה עשוי, שבהם העסקה בוצעה במלואה.</w:t>
      </w:r>
      <w:r>
        <w:rPr>
          <w:rStyle w:val="FootnoteReference"/>
        </w:rPr>
        <w:footnoteReference w:id="46"/>
      </w:r>
      <w:r>
        <w:rPr>
          <w:rFonts w:ascii="David" w:cs="David" w:eastAsia="David" w:hAnsi="David"/>
          <w:sz w:val="24"/>
          <w:szCs w:val="24"/>
          <w:rtl/>
        </w:rPr>
        <w:t xml:space="preserve"> יישומה של זעקת ההגינות בסכסוך פנים 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העולה כדי הפרת חובת נאמנות, בשילוב ביצועה המלא של החלוקה מצדו של הצד השני, ממלאים את מבחני זעקת ההגינות ומרככים את דרישת הכתב.</w:t>
      </w:r>
      <w:r>
        <w:rPr>
          <w:rStyle w:val="FootnoteReference"/>
        </w:rPr>
        <w:footnoteReference w:id="47"/>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 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 פרובטיבית ולא מהותית, כך שניתן להוכיח את העסקה בעדות בעל פה, מקום שבעל הדין שכנגד לא התנגד לעדות.</w:t>
      </w:r>
      <w:r>
        <w:rPr>
          <w:rStyle w:val="FootnoteReference"/>
        </w:rPr>
        <w:footnoteReference w:id="48"/>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זעקת ההגינות הייתה מרפאת את החסר, שעה שההסכם קוים במלואו והמסתמכים נהגו בחלקה מנהג בעלים דורות.</w:t>
      </w:r>
      <w:r>
        <w:rPr>
          <w:rStyle w:val="FootnoteReference"/>
        </w:rPr>
        <w:footnoteReference w:id="49"/>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jc w:val="both"/>
      </w:pPr>
      <w:r>
        <w:rPr>
          <w:rFonts w:ascii="David" w:cs="David" w:eastAsia="David" w:hAnsi="David"/>
          <w:sz w:val="24"/>
          <w:szCs w:val="24"/>
          <w:rtl/>
        </w:rPr>
        <w:t xml:space="preserve">חלק ניכר מן ההעברות הפנים משפחתיות אינן מכר אלא מתנה: אב "הרושם" בעל 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50"/>
      </w:r>
      <w:r>
        <w:rPr>
          <w:rFonts w:ascii="David" w:cs="David" w:eastAsia="David" w:hAnsi="David"/>
          <w:sz w:val="24"/>
          <w:szCs w:val="24"/>
          <w:rtl/>
        </w:rPr>
        <w:t xml:space="preserve"> ודוק: במקרקעין ההבחנה הזו חדה במיוחד. הקניית מקרקעין במתנה "לאלתר" איננה אפשרית בלא רישום, שהרי ההקניה נגמרת ברישום בלבד; מכאן שכל מתנת מקרקעין שלא נרשמה היא, מעצם הדין, התחייבות לתת מתנה, על משטר החזרה הנלווה אליה. על התחייבות ליתן מקרקעין במתנה חלה אפוא דרישת כתב כפולה, מכוח סעיף 5(א) לחוק המתנה ומכוח סעיף 8 לחוק המקרקעין,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51"/>
      </w:r>
      <w:r>
        <w:rPr>
          <w:rFonts w:ascii="David" w:cs="David" w:eastAsia="David" w:hAnsi="David"/>
          <w:sz w:val="24"/>
          <w:szCs w:val="24"/>
          <w:rtl/>
        </w:rPr>
        <w:t xml:space="preserve"> כל עוד לא שינה המקבל את מצבו בהסתמך על ההתחייבות, רשאי הנותן לחזור בו, זולת אם ויתר בכתב על זכות החזרה; ובהתנהגות מחפירה של המקבל או בהרעה ניכרת במצבו הכלכלי של הנותן, קמה זכות חזרה נוספת.</w:t>
      </w:r>
      <w:r>
        <w:rPr>
          <w:rStyle w:val="FootnoteReference"/>
        </w:rPr>
        <w:footnoteReference w:id="52"/>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וחשוב מכך, הפסיקה רואה בו, על פי לשונו ונסיבותיו, ויתור בכתב על זכות החזרה שלפי סעיף 5(ב).</w:t>
      </w:r>
      <w:r>
        <w:rPr>
          <w:rStyle w:val="FootnoteReference"/>
        </w:rPr>
        <w:footnoteReference w:id="53"/>
      </w:r>
      <w:r>
        <w:rPr>
          <w:rFonts w:ascii="David" w:cs="David" w:eastAsia="David" w:hAnsi="David"/>
          <w:sz w:val="24"/>
          <w:szCs w:val="24"/>
          <w:rtl/>
        </w:rPr>
        <w:t xml:space="preserve"> צירופם של השניים, התחייבות בכתב וויתור על חזרה,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54"/>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 זמני,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ומסירת החזקה, בניית בתים רבים על הקרקע ושתיקת האחיות במשך עשורים אינן מרפאות את הבטלות,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55"/>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ולפי הפרקטיקה אף בצירוף ייפוי כוח בלתי חוזר, השלימה את המתנה גם ללא רישום.</w:t>
      </w:r>
      <w:r>
        <w:rPr>
          <w:rStyle w:val="FootnoteReference"/>
        </w:rPr>
        <w:footnoteReference w:id="56"/>
      </w:r>
      <w:r>
        <w:rPr>
          <w:rFonts w:ascii="David" w:cs="David" w:eastAsia="David" w:hAnsi="David"/>
          <w:sz w:val="24"/>
          <w:szCs w:val="24"/>
          <w:rtl/>
        </w:rPr>
        <w:t xml:space="preserve"> הזיכרון המוסדי הזה, שלפיו "ייפוי כוח + חזקה = העברה גמורה", מוסיף להזין את הפרקטיקה המשפחתית עד היום, אף שהדין הישראלי החליף מאז את כלליו. התבוננות בין דורית מגלה אפוא שרשרת של שלושה משטרים: מתנה שהושלמה כדין המג׳לה בתקופתה; התחייבות למתנה שנכרתה תחת חוק המתנה אך לא נרשמה; וירושה על פי דין שירשה את שתיהן. שופט הדן היום בתביעת נכד נדרש לזהות תחילה איזה מן המשטרים חל על כל חוליה, שכן דין החוליה נקבע לפי יום היווצרותה, לא לפי יום ההתדיינות.</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jc w:val="both"/>
      </w:pPr>
      <w:r>
        <w:rPr>
          <w:rFonts w:ascii="David" w:cs="David" w:eastAsia="David" w:hAnsi="David"/>
          <w:sz w:val="24"/>
          <w:szCs w:val="24"/>
          <w:rtl/>
        </w:rPr>
        <w:t xml:space="preserve">בתחתית מדרג הכלים ניצב הרישיון במקרקעין,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57"/>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שהייה ממושכת במקרקעין, וידיעת הבעלים על ההחזקה בלא שעשו דבר לאורך תקופה ארוכה.</w:t>
      </w:r>
      <w:r>
        <w:rPr>
          <w:rStyle w:val="FootnoteReference"/>
        </w:rPr>
        <w:footnoteReference w:id="58"/>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9"/>
      </w:r>
      <w:r>
        <w:rPr>
          <w:rFonts w:ascii="David" w:cs="David" w:eastAsia="David" w:hAnsi="David"/>
          <w:sz w:val="24"/>
          <w:szCs w:val="24"/>
          <w:rtl/>
        </w:rPr>
        <w:t xml:space="preserve"> ובהקשר המשפחתי פועלים יסודות אלה במלוא עוצמתם: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יותנה הפינוי בפיצוי ממשי.</w:t>
      </w:r>
      <w:r>
        <w:rPr>
          <w:rStyle w:val="FootnoteReference"/>
        </w:rPr>
        <w:footnoteReference w:id="60"/>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61"/>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אינו ניתן להעברה, ובפסיקה נקבע כי רשות חינם פוקעת ככלל עם מות בעל הרישיון ואינה מקנה ליורשיו מעמד.</w:t>
      </w:r>
      <w:r>
        <w:rPr>
          <w:rStyle w:val="FootnoteReference"/>
        </w:rPr>
        <w:footnoteReference w:id="62"/>
      </w:r>
      <w:r>
        <w:rPr>
          <w:rFonts w:ascii="David" w:cs="David" w:eastAsia="David" w:hAnsi="David"/>
          <w:sz w:val="24"/>
          <w:szCs w:val="24"/>
          <w:rtl/>
        </w:rPr>
        <w:t xml:space="preserve"> משמעות הדבר בסכסוך הבין דורי היא שהרישיון מגן על הדור שקיבל את ההרשאה, אך אינו יכול לשמש תשתית לתביעת בעלות של הדור השלישי. בכך נבדל הרישיון מן הזכות שביושר: הראשון הוא מגן; השנייה,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המחשה חדה למחיר שגובה סיווגה של החזקה רבת 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 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 הרשות הבלתי הדירה גוברת על המעקל: מקום שהצדק מחייב את קיומה של זכות בלתי הדירה, מכוחו של השתק, המכונה גם השתק קנייני (proprietary estoppel),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63"/>
      </w:r>
      <w:r>
        <w:rPr>
          <w:rFonts w:ascii="David" w:cs="David" w:eastAsia="David" w:hAnsi="David"/>
          <w:sz w:val="24"/>
          <w:szCs w:val="24"/>
          <w:rtl/>
        </w:rPr>
        <w:t xml:space="preserve"> זהו אחד המקומות שבהם הדוקטרינה הישראלית קוראת לעצמה בשמה האנגלי, עדות לכך שהזיקה לדיני היושר המשווים, שתידון בפרק ו, איננה מטפורה אלא ייחוס מפורש. ולבסוף, גם רישיון שבוטל כדין אינו מותיר את בר הרשות בידיים ריקות: ביטולה של רשות שהושקע על יסודה עשוי להיות מותנה בפיצוי, אלא שההלכה גודרת אותו; הפיצוי ניתן בגין השבחת המקרקעין, קרי ההשקעות שהשביחו את הקרקע, ולא בגין זכות כלשהי במקרקעין.</w:t>
      </w:r>
      <w:r>
        <w:rPr>
          <w:rStyle w:val="FootnoteReference"/>
        </w:rPr>
        <w:footnoteReference w:id="64"/>
      </w:r>
    </w:p>
    <w:p>
      <w:pPr>
        <w:pStyle w:val="Heading2"/>
        <w:bidi/>
        <w:spacing w:after="180" w:before="280"/>
      </w:pPr>
      <w:r>
        <w:rPr>
          <w:rFonts w:ascii="David" w:cs="David" w:eastAsia="David" w:hAnsi="David"/>
          <w:b/>
          <w:bCs/>
          <w:color w:val="000000"/>
          <w:sz w:val="28"/>
          <w:szCs w:val="28"/>
          <w:rtl/>
        </w:rPr>
        <w:t xml:space="preserve">ג.6 התיישנות, חזקה רבת שנים וטענת הבעלות הנוגדת</w:t>
      </w:r>
    </w:p>
    <w:p>
      <w:pPr>
        <w:bidi/>
        <w:spacing w:after="160" w:line="36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עשרים וחמש שנים) להקים מחסום מפני תביעת הבעלים, ואילו במקרקעין מוסדרים נשללה ההתיישנות כליל.</w:t>
      </w:r>
      <w:r>
        <w:rPr>
          <w:rStyle w:val="FootnoteReference"/>
        </w:rPr>
        <w:footnoteReference w:id="65"/>
      </w:r>
      <w:r>
        <w:rPr>
          <w:rFonts w:ascii="David" w:cs="David" w:eastAsia="David" w:hAnsi="David"/>
          <w:sz w:val="24"/>
          <w:szCs w:val="24"/>
          <w:rtl/>
        </w:rPr>
        <w:t xml:space="preserve"> יש לזכור כי ההתיישנות הישראלית דיונית במהותה: היא חוסמת את התביעה אך אינה מקנה למחזיק זכות, ואינה מטהרת את שרשרת הזכויות; אפילו הצליח המחזיק בטענתו, אין בידו אלא מגן מפני פינוי, לא מקור לרישום. בסכסוכים פנים משפחתיים ערכה של הטענה מוגבל עוד יותר: חזקתו של בן משפחה נתפסת על פי רוב כחזקה מכוח הרשאה, "חזקה מרשות", ולא כחזקה נוגדת הצוהלת כנגד הבעלים, ולכן אין היא מבשילה להתיישנות.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66"/>
      </w:r>
    </w:p>
    <w:p>
      <w:pPr>
        <w:bidi/>
        <w:spacing w:after="160" w:line="360"/>
        <w:ind w:firstLine="420"/>
        <w:jc w:val="both"/>
      </w:pPr>
      <w:r>
        <w:rPr>
          <w:rFonts w:ascii="David" w:cs="David" w:eastAsia="David" w:hAnsi="David"/>
          <w:sz w:val="24"/>
          <w:szCs w:val="24"/>
          <w:rtl/>
        </w:rPr>
        <w:t xml:space="preserve">שלושה יסודות נדרשים כדי שחזקה תיחשב נוגדת: היא צריכה להיות גלויה, רצופה ובלתי מופרעת לאורך כל התקופה; היא צריכה להיות ללא הסכמת הבעלים; והיא צריכה לשדר כלפי חוץ כפירה בזכות הבעלים, ולא שימוש הנסבל מכוחה. בסכסוך הפנים משפחתי נופלת הטענה, על פי רוב, ביסוד השני והשלישי גם יחד: עצם העובדה שההחזקה החלה בהסכמת האב או האחים מסווגת אותה כחזקה מכוח רשות, ואף שנים ארוכות של החזקה בלעדית אינן הופכות אותה לנוגדת כל עוד לא נעשה מעשה גלוי של כפירה. קושי נוסף מתעורר כאשר בני המשפחה רשומים כשותפים בחלקה: חזקתו של שותף במקרקעין משותפים נחשבת ככלל כחזקה מטעם כלל השותפים, וכדי שתהפוך נוגדת נדרשת הודעה או התנהגות המבהירה לשותפים האחרים כי המחזיק שולל מהם את זכותם.</w:t>
      </w:r>
      <w:r>
        <w:rPr>
          <w:rStyle w:val="FootnoteReference"/>
        </w:rPr>
        <w:footnoteReference w:id="67"/>
      </w:r>
      <w:r>
        <w:rPr>
          <w:rFonts w:ascii="David" w:cs="David" w:eastAsia="David" w:hAnsi="David"/>
          <w:sz w:val="24"/>
          <w:szCs w:val="24"/>
          <w:rtl/>
        </w:rPr>
        <w:t xml:space="preserve"> והתוצאה כפולת פנים: מצד אחד, ההגנה על הבעלים הרשום כמעט מוחלטת, ומי שהחזיק דורות בקרקע משפחתית לא יזכה בה מכוח הזמן בלבד; מצד אחר, שלילת המסלול הזה מסיטה את מלוא כובד המשקל אל הוכחת העסקה ההיסטורית עצמה, על כל קשייה הראייתיים. כאן בדיוק נפרדות דרכיהם של הדין הישראלי והדין המצרי: זה האחרון, כפי שיפורט בפרק ו.2.3, בחר להעניק לחזקה ארוכת שנים כוח מכונן, ובכך פטר את בתי המשפט מן ההתחקות אחר עסקאות שנעלמו.</w:t>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jc w:val="both"/>
      </w:pPr>
      <w:r>
        <w:rPr>
          <w:rFonts w:ascii="David" w:cs="David" w:eastAsia="David" w:hAnsi="David"/>
          <w:sz w:val="24"/>
          <w:szCs w:val="24"/>
          <w:rtl/>
        </w:rPr>
        <w:t xml:space="preserve">בפסיקה העדכנית, בבית המשפט העליון כבערכאות המשפחה,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68"/>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69"/>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70"/>
      </w:r>
    </w:p>
    <w:p>
      <w:pPr>
        <w:bidi/>
        <w:spacing w:after="160" w:line="360"/>
        <w:ind w:firstLine="420"/>
        <w:jc w:val="both"/>
      </w:pPr>
      <w:r>
        <w:rPr>
          <w:rFonts w:ascii="David" w:cs="David" w:eastAsia="David" w:hAnsi="David"/>
          <w:sz w:val="24"/>
          <w:szCs w:val="24"/>
          <w:rtl/>
        </w:rPr>
        <w:t xml:space="preserve">דברים אלה, שנאמרו אגב סכסוך בין ענפי משפחה אחת על מקרקעין בלתי רשומים,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 פה ומנהג אינם גוברים על הדין הישראלי ואינם מצדיקים הצהרת בעלות בלא תשתית משפטית וראייתית;</w:t>
      </w:r>
      <w:r>
        <w:rPr>
          <w:rStyle w:val="FootnoteReference"/>
        </w:rPr>
        <w:footnoteReference w:id="71"/>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72"/>
      </w:r>
      <w:r>
        <w:rPr>
          <w:rFonts w:ascii="David" w:cs="David" w:eastAsia="David" w:hAnsi="David"/>
          <w:sz w:val="24"/>
          <w:szCs w:val="24"/>
          <w:rtl/>
        </w:rPr>
        <w:t xml:space="preserve"> שני הקטבים אינם סותרים אלא משלימים, ומשתקף מהם עיקרון אחד: הפסיקה מוכנה להכיר בעסקה קונקרטית שהוכחה, ואינה מוכנה להכיר במנהג כמקור זכות עצמאי. קו הגבול עובר אפוא לא בין "רשום" ל"בלתי רשום", אלא בין טענה עובדתית מוגדרת (נכרתה עסקה פלונית, בתנאים פלוניים) לבין טענה נורמטיבית עמומה (כך נהוג אצלנו).</w:t>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אך בית המשפט הכיר באפשרות לפצותה כספית, במסגרת איזון המשאבים, על אובדן זכות דיור שהתבססה במהלך הנישואין.</w:t>
      </w:r>
      <w:r>
        <w:rPr>
          <w:rStyle w:val="FootnoteReference"/>
        </w:rPr>
        <w:footnoteReference w:id="73"/>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74"/>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75"/>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 רשות ובזכות אובליגטורית לדרוש חכירה ממינהל מקרקעי ישראל, הסכם, אף בעל פה,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76"/>
      </w:r>
      <w:r>
        <w:rPr>
          <w:rFonts w:ascii="David" w:cs="David" w:eastAsia="David" w:hAnsi="David"/>
          <w:sz w:val="24"/>
          <w:szCs w:val="24"/>
          <w:rtl/>
        </w:rPr>
        <w:t xml:space="preserve"> ובמישור הדיוני, לעניין סיווג התביעה וסמכות הערכאות.</w:t>
      </w:r>
      <w:r>
        <w:rPr>
          <w:rStyle w:val="FootnoteReference"/>
        </w:rPr>
        <w:footnoteReference w:id="77"/>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כגון צו המגן על דרך מעבר משותפת בין הבתים, תוך הגבלת ההכרעה למישור הפנים משפחתי, בלא לפגוע בזכויות יתר השותפים הרשומים שאינם צד להליך.</w:t>
      </w:r>
      <w:r>
        <w:rPr>
          <w:rStyle w:val="FootnoteReference"/>
        </w:rPr>
        <w:footnoteReference w:id="78"/>
      </w:r>
      <w:r>
        <w:rPr>
          <w:rFonts w:ascii="David" w:cs="David" w:eastAsia="David" w:hAnsi="David"/>
          <w:sz w:val="24"/>
          <w:szCs w:val="24"/>
          <w:rtl/>
        </w:rPr>
        <w:t xml:space="preserve"> העולה מן המכלול: הפסיקה אינה מכשירה "בעלות מכוח מנהג", אך היא מכשירה עסקה מוכחת, ותהא בלתי רשומה ובלתי מדווחת, ובכך היא מציבה את מרכז הכובד בזירה הראייתית. למשקלם המדויק של היתרי הבנייה, הארנונה והמסמכים ההיסטוריים, חומר הגלם של הכרעות אלה,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jc w:val="both"/>
      </w:pPr>
      <w:r>
        <w:rPr>
          <w:rFonts w:ascii="David" w:cs="David" w:eastAsia="David" w:hAnsi="David"/>
          <w:sz w:val="24"/>
          <w:szCs w:val="24"/>
          <w:rtl/>
        </w:rPr>
        <w:t xml:space="preserve">העיון בארגז הכלים מלמד עד כמה מרשימה יצירתיות הפסיקה, ועד כמה שברירית התוצאה. כל אחד מן הכלים הוא חריג שנבנה על חריג: "זעקת ההגינות" מותנית ב"מקרים מיוחדים" שאין להם הגדרה; אי 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הערכה הרגישה מטבעה לזהות השופט, לרושם העדים ולמידת ה"אשם" היחסי של בני המשפחה.</w:t>
      </w:r>
      <w:r>
        <w:rPr>
          <w:rStyle w:val="FootnoteReference"/>
        </w:rPr>
        <w:footnoteReference w:id="79"/>
      </w:r>
    </w:p>
    <w:p>
      <w:pPr>
        <w:bidi/>
        <w:spacing w:after="160" w:line="360"/>
        <w:ind w:firstLine="420"/>
        <w:jc w:val="both"/>
      </w:pPr>
      <w:r>
        <w:rPr>
          <w:rFonts w:ascii="David" w:cs="David" w:eastAsia="David" w:hAnsi="David"/>
          <w:sz w:val="24"/>
          <w:szCs w:val="24"/>
          <w:rtl/>
        </w:rPr>
        <w:t xml:space="preserve">חמור מכך: הכלים כולם פועלים במישור הבין אישי, ואין בכוחם לרפא את הפגם המערכתי. גם התובע שזכה, שהוכיח את העסקה, שנהנה מ"זעקת ההגינות", מקבל בידו פסק דין הצהרתי, ולא רישום: בינו לבין הטאבו עדיין ניצבות חבויות המס ההיסטוריות שיידונו בפרק ה. ויש לביקורת גם ממד ראייתי מוסדי: הצלחת הכלים כולם תלויה בזמינותן של ראיות, ובראשן התיעוד המנהלי שיידון בפרק ד; ככל שהעסקה ישנה יותר ומתועדת פחות, כך גובר משקל המקריות, שכן משפחה ששמרה קבלות תזכה ומשפחה שלא שמרה תפסיד, אף שהתנהלותן החברתית הייתה זהה. הפסיקה, במילים אחרות, מטפלת בסימפטום, הסכסוך שהבשיל,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bidi/>
        <w:spacing w:after="160" w:line="360"/>
        <w:ind w:firstLine="420"/>
        <w:jc w:val="both"/>
      </w:pPr>
      <w:r>
        <w:rPr>
          <w:rFonts w:ascii="David" w:cs="David" w:eastAsia="David" w:hAnsi="David"/>
          <w:sz w:val="24"/>
          <w:szCs w:val="24"/>
          <w:rtl/>
        </w:rPr>
        <w:t xml:space="preserve">ולביקורת יש גם פן דיוני שאין להקל בו ראש. משנקבע כי ההכרעה תיפול על יסוד הערכה כוללת של הגינות, הסתמכות ומהימנות, הופכת ההתדיינות ליקרה, ממושכת ותלוית מומחים: נדרשות עדויות של קשישים, חוות דעת גרפולוגיות, מדידות ותרגומים, וכל אלה בהליך שראשיתו בסכסוך בין אחים. מי שידו משגת לנהלו נמצא בעמדת פתיחה טובה יותר, בלא קשר לצדקת טענתו, וממד זה מחריף את התוצאה החלוקתית שתוארה בפרק א. זאת ועוד, מאחר שההכרעה נשענת ברובה על ממצאי עובדה ומהימנות, מצטמצם מרחב ההתערבות של ערכאת הערעור, ובכך נחלשת אף יכולתה של השיטה לגבש הלכה אחידה שתדריך את הציבור מראש. פרק ז ישוב אל הכשל הזה ויציע לו מסגור דוקטרינרי חלופי; ואולם בטרם כן יש לבחון את החומר שממנו נבנות ההכרעות בפועל, ולכך מוקדש הפרק הבא.</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jc w:val="both"/>
      </w:pPr>
      <w:r>
        <w:rPr>
          <w:rFonts w:ascii="David" w:cs="David" w:eastAsia="David" w:hAnsi="David"/>
          <w:sz w:val="24"/>
          <w:szCs w:val="24"/>
          <w:rtl/>
        </w:rPr>
        <w:t xml:space="preserve">בסכסוכים פנים משפחתיים נשמעת תדיר הטענה: "אני הוצאתי את היתר הבנייה,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80"/>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חתימת בעלים רשום, ייפוי כוח, או היעדר התנגדות מצד בני המשפחה. ויש לזכור גם את הצד המצוי של המטבע: ביישובים הערביים, שבהם מצוקת התכנון והיעדר תוכניות מפורטות הולידו בנייה חורגת נרחבת, נבנו בתים רבים בלא היתר כלל; היעדרו של היתר אינו מלמד אפוא על היעדר זכות, כשם שקיומו אינו מלמד על קיומה.</w:t>
      </w:r>
      <w:r>
        <w:rPr>
          <w:rStyle w:val="FootnoteReference"/>
        </w:rPr>
        <w:footnoteReference w:id="81"/>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 משפחתי, שבו העסקאות נעשות בעל פה, שתיקת המשפחה בזמן אמת היא ראיה רבת משמעות: אם בשנת 1985 בנה האח את ביתו על החלקה, הגיש בקשה להיתר, פרסם אותה כדין, ואיש מן האחים, שידעו על הבנייה וראוה בעיניהם, לא מחה ולא התנגד, הרי שהתנהגות זו תומכת בגרסה כי החלוקה המשפחתית הנטענת אכן הוסכמה. ההיתר אינו מקור הזכות; הוא תיעוד בן הזמן של הסכמה חברתית שאבדה מאז. ברוח זו נהגו בתי המשפט לשקול היתרי בנייה, תשלומי היטלים ואישורי רשויות כחלק ממכלול ראייתי התומך בקיומה של הרשאה או זכות, אך לא כראיה עצמאית מכרעת.</w:t>
      </w:r>
      <w:r>
        <w:rPr>
          <w:rStyle w:val="FootnoteReference"/>
        </w:rPr>
        <w:footnoteReference w:id="82"/>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ולא הגיבו ולא התנגדו; נקבע כי בכך העידו על עצמם שאינם רואים עצמם בעלי זכויות במקרקעין.</w:t>
      </w:r>
      <w:r>
        <w:rPr>
          <w:rStyle w:val="FootnoteReference"/>
        </w:rPr>
        <w:footnoteReference w:id="83"/>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jc w:val="both"/>
      </w:pPr>
      <w:r>
        <w:rPr>
          <w:rFonts w:ascii="David" w:cs="David" w:eastAsia="David" w:hAnsi="David"/>
          <w:sz w:val="24"/>
          <w:szCs w:val="24"/>
          <w:rtl/>
        </w:rPr>
        <w:t xml:space="preserve">חשבונות הארנונה סובלים ממגבלה מובנית עוד יותר. הארנונה מוטלת על "המחזיק" בנכס, בעל הזיקה הקרובה ביותר אליו, ולא על הבעלים דווקא.</w:t>
      </w:r>
      <w:r>
        <w:rPr>
          <w:rStyle w:val="FootnoteReference"/>
        </w:rPr>
        <w:footnoteReference w:id="84"/>
      </w:r>
      <w:r>
        <w:rPr>
          <w:rFonts w:ascii="David" w:cs="David" w:eastAsia="David" w:hAnsi="David"/>
          <w:sz w:val="24"/>
          <w:szCs w:val="24"/>
          <w:rtl/>
        </w:rPr>
        <w:t xml:space="preserve"> זאת ועוד, רישומי מחלקת הגבייה נסמכים במידה רבה על הודעות הצדדים עצמם: חילופי מחזיקים נקלטים על יסוד הודעה בכתב, בלא בדיקה קניינית, כך שהרישום העירוני משקף את מה שהמשפחה בחרה למסור לרשות ולא הכרעה של הרשות.</w:t>
      </w:r>
      <w:r>
        <w:rPr>
          <w:rStyle w:val="FootnoteReference"/>
        </w:rPr>
        <w:footnoteReference w:id="85"/>
      </w:r>
      <w:r>
        <w:rPr>
          <w:rFonts w:ascii="David" w:cs="David" w:eastAsia="David" w:hAnsi="David"/>
          <w:sz w:val="24"/>
          <w:szCs w:val="24"/>
          <w:rtl/>
        </w:rPr>
        <w:t xml:space="preserve"> רישומו של אדם כמשלם הארנונה מלמד אפוא על החזקה ועל הכרת הרשות המקומית בו כמחזיק,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מתיישב עם גרסת ההחזקה מכוח זכות, ומקשה על הגרסה שלפיה הייתה ההחזקה "ברשות גרידא" שניתנה מחסד.</w:t>
      </w:r>
    </w:p>
    <w:p>
      <w:pPr>
        <w:bidi/>
        <w:spacing w:after="160" w:line="360"/>
        <w:ind w:firstLine="420"/>
        <w:jc w:val="both"/>
      </w:pPr>
      <w:r>
        <w:rPr>
          <w:rFonts w:ascii="David" w:cs="David" w:eastAsia="David" w:hAnsi="David"/>
          <w:sz w:val="24"/>
          <w:szCs w:val="24"/>
          <w:rtl/>
        </w:rPr>
        <w:t xml:space="preserve">שלושה סימנים מבחינים, בהקשר זה, בין תשלום המלמד על החזקה מכוח זכות לבין תשלום שאינו מלמד דבר. הראשון הוא זהות המשלם לאורך זמן: תשלום המבוצע ברציפות על שם אותו בן משפחה, ולא על שם העיזבון או האב הרשום, מלמד כי הצדדים עצמם ראו בו את בעל הנכס. השני הוא היעדר תמורה נגדית: מקום שהמחזיק נושא בכל נטלי הנכס, ארנונה, היטלים, אגרות ותחזוקה, ובעל הזכות הרשום אינו דורש דמי שימוש או השתתפות, מתחזקת המסקנה שההחזקה אינה מכוח חסד המתחדש מדי שנה. השלישי הוא ההקשר: תשלום המצטרף לבנייה, להשקעה ולמגורים בפועל שונה בתכלית מתשלום המנותק מהם. בהיעדר סימנים אלה, ובעיקר כאשר הנכס נותר רשום בעירייה על שם המוריש והתשלום בוצע מקופה משפחתית משותפת, אין בחשבונות הארנונה כדי לתמוך בגרסת מי מן הצדדים.</w:t>
      </w:r>
      <w:r>
        <w:rPr>
          <w:rStyle w:val="FootnoteReference"/>
        </w:rPr>
        <w:footnoteReference w:id="86"/>
      </w:r>
      <w:r>
        <w:rPr>
          <w:rFonts w:ascii="David" w:cs="David" w:eastAsia="David" w:hAnsi="David"/>
          <w:sz w:val="24"/>
          <w:szCs w:val="24"/>
          <w:rtl/>
        </w:rPr>
        <w:t xml:space="preserve"> ולבסוף, הסתייגות מתחייבת: הארנונה היא מס, ותכליתה מימון שירותים עירוניים. רישומיה נערכים לצורך גבייה, לא לצורך תיעוד זכויות, והרשות אינה נדרשת לברר את מצב הקניין. לפיכך, גם כאשר החשבונות תומכים בגרסת המחזיק, אין הם יכולים לשמש אלא נדבך אחד במכלול, ולעולם לא תשתית עצמאית להצהרת בעלות.</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 הזמן, שנוצרה בטרם קם אינטרס דיוני, והם עשויים, כמפורט בפרק ג, לעלות כדי "מסמך בכתב" הממלא את דרישת סעיף 8 עצמה; ובעסקאות שקדמו לחוק המקרקעין די בהם אף פחות מכך, שכן דרישת הכתב של הדין הקודם ראייתית בלבד, ומסמך חלקי משתלב בה עם עדויות בעל פה למסכת הוכחה אחת.</w:t>
      </w:r>
      <w:r>
        <w:rPr>
          <w:rStyle w:val="FootnoteReference"/>
        </w:rPr>
        <w:footnoteReference w:id="87"/>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 שערכאת הערעור תמעט להתערב בהן.</w:t>
      </w:r>
    </w:p>
    <w:p>
      <w:pPr>
        <w:bidi/>
        <w:spacing w:after="160" w:line="360"/>
        <w:ind w:firstLine="420"/>
        <w:jc w:val="both"/>
      </w:pPr>
      <w:r>
        <w:rPr>
          <w:rFonts w:ascii="David" w:cs="David" w:eastAsia="David" w:hAnsi="David"/>
          <w:sz w:val="24"/>
          <w:szCs w:val="24"/>
          <w:rtl/>
        </w:rPr>
        <w:t xml:space="preserve">הדין מספק כמה כלים להתמודדות עם קשיים אלה. ראשית, מסמך ישן שנשמר במשמורת טבעית ואינו נושא סימני חשד נהנה מנטייה שיפוטית לקבל את אמיתותו, ובלבד שהוצג מקורו או הוסבר היעדרו; שנית, ניתן להוכיח את תוכנו של מסמך שאבד בראיות משניות, ובהן עותקים, תרשומות ועדויות על תוכנו; ושלישית, ובעיקר, פועלת כאן הראיה שבהתנהגות: מסמך היסטורי שהצדדים נהגו על פיו במשך עשרות שנים, ובנו, עיבדו וחילקו בהתאם לו, מקבל חיזוק מן ההתנהגות עצמה, שהיא בבחינת פרשנות בת הזמן של המסמך.</w:t>
      </w:r>
      <w:r>
        <w:rPr>
          <w:rStyle w:val="FootnoteReference"/>
        </w:rPr>
        <w:footnoteReference w:id="88"/>
      </w:r>
      <w:r>
        <w:rPr>
          <w:rFonts w:ascii="David" w:cs="David" w:eastAsia="David" w:hAnsi="David"/>
          <w:sz w:val="24"/>
          <w:szCs w:val="24"/>
          <w:rtl/>
        </w:rPr>
        <w:t xml:space="preserve"> קטגוריה נפרדת, שערכה רב במיוחד, היא זו של רישומי הטאבו העות׳מאניים והמנדטוריים. אלה אינם מסמכים פרטיים אלא רישומי רשות, ולכן משקלם גבוה מזה של שטר מסורתי; אך יש לקרוא אותם בזהירות, שכן, כמתואר בפרק ב, שמות הרשומים בהם משקפים תכופות את נציג המשפחה או הנכבד שעל שמו נרשמה הקרקע, ולא את מי שהחזיק בה ועיבד אותה בפועל. אף כאן, אפוא, המסמך אינו מסיים את הדיון אלא פותח אותו.</w:t>
      </w:r>
      <w:r>
        <w:rPr>
          <w:rStyle w:val="FootnoteReference"/>
        </w:rPr>
        <w:footnoteReference w:id="89"/>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jc w:val="both"/>
      </w:pPr>
      <w:r>
        <w:rPr>
          <w:rFonts w:ascii="David" w:cs="David" w:eastAsia="David" w:hAnsi="David"/>
          <w:sz w:val="24"/>
          <w:szCs w:val="24"/>
          <w:rtl/>
        </w:rPr>
        <w:t xml:space="preserve">מן הפסיקה ניתן לחלץ מדרג בלתי פורמלי של ראיות. במדרגה העליונה, מסמך בן זמן המגלם את העסקה: ייפוי כוח בלתי חוזר מפורט, שטר מסורתי, קבלות תשלום, ובלבד שאמיתותם הוכחה. במדרגה השנייה, ביצוע גלוי ורצוף: מסירת חזקה, בנייה, עיבוד, גידור, מגורים רבי שנים בידיעת הכל. במדרגה השלישית, התיעוד המנהלי הנסיבתי: היתרי בנייה, תשלומי ארנונה והיטלים, מכתבים לרשויות, רישומים אצל רשות מקרקעי ישראל או חברה משכנת. ובמדרגה הרביעית, עדויות בעל פה של בני משפחה, הנבחנות בזהירות יתרה נוכח האינטרס והזמן שחלף, ובכפוף לדרישת הסיוע בתביעות נגד עיזבון.</w:t>
      </w:r>
      <w:r>
        <w:rPr>
          <w:rStyle w:val="FootnoteReference"/>
        </w:rPr>
        <w:footnoteReference w:id="90"/>
      </w:r>
      <w:r>
        <w:rPr>
          <w:rFonts w:ascii="David" w:cs="David" w:eastAsia="David" w:hAnsi="David"/>
          <w:sz w:val="24"/>
          <w:szCs w:val="24"/>
          <w:rtl/>
        </w:rPr>
        <w:t xml:space="preserve"> אין מדובר במדרג נוקשה: כוחו של כל מקבץ ראיות במצטבר, והעיקרון המנחה הוא קוהרנטיות, כלומר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כולם מתיישבים זה עם זה, יכריע בית המשפט לטובת המחזיק אף שהמרשם שותק; וכאשר הם סותרים זה את זה, יגבר המרשם. המדרג המוצע אף מתיישב עם הדגשת בית המשפט העליון בעניין </w:t>
      </w:r>
      <w:r>
        <w:rPr>
          <w:rFonts w:ascii="David" w:cs="David" w:eastAsia="David" w:hAnsi="David"/>
          <w:i/>
          <w:iCs/>
          <w:sz w:val="24"/>
          <w:szCs w:val="24"/>
          <w:rtl/>
        </w:rPr>
        <w:t xml:space="preserve">משעל</w:t>
      </w:r>
      <w:r>
        <w:rPr>
          <w:rFonts w:ascii="David" w:cs="David" w:eastAsia="David" w:hAnsi="David"/>
          <w:sz w:val="24"/>
          <w:szCs w:val="24"/>
          <w:rtl/>
        </w:rPr>
        <w:t xml:space="preserve">, שלפיה אין להטיל על הטוען לזכות במקרקעין בלתי רשומים נטל שאין הדין מטיל עליו: תפקידו של המדרג אינו להכביד אלא לארגן, להבחין בין ראיה שנוצרה בזמן אמת ובלא אינטרס לבין ראיה שנוצרה בצל ההתדיינות.</w:t>
      </w:r>
      <w:r>
        <w:rPr>
          <w:rStyle w:val="FootnoteReference"/>
        </w:rPr>
        <w:footnoteReference w:id="91"/>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בעל כורחם,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מייצרות בפועל את התשתית שעליה מוכרעות זכויות; ואילו הרשם, שהוסמך לכך, יושב מול פנקס שקפא. בית המשפט העליון עמד במפורש על צדו האחד של ההיפוך: תפקידו של רשם המקרקעין הוא מינהלי וטכני, ואין להטיל עליו בירור שיפוטי של זכויות שאינן רשומות.</w:t>
      </w:r>
      <w:r>
        <w:rPr>
          <w:rStyle w:val="FootnoteReference"/>
        </w:rPr>
        <w:footnoteReference w:id="92"/>
      </w:r>
      <w:r>
        <w:rPr>
          <w:rFonts w:ascii="David" w:cs="David" w:eastAsia="David" w:hAnsi="David"/>
          <w:sz w:val="24"/>
          <w:szCs w:val="24"/>
          <w:rtl/>
        </w:rPr>
        <w:t xml:space="preserve"> אך צדו האחר, שהמערכת התכנונית והפיסקלית הפכה לרשם בפועל,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bidi/>
        <w:spacing w:after="160" w:line="360"/>
        <w:ind w:firstLine="420"/>
        <w:jc w:val="both"/>
      </w:pPr>
      <w:r>
        <w:rPr>
          <w:rFonts w:ascii="David" w:cs="David" w:eastAsia="David" w:hAnsi="David"/>
          <w:sz w:val="24"/>
          <w:szCs w:val="24"/>
          <w:rtl/>
        </w:rPr>
        <w:t xml:space="preserve">להיפוך התפקידים הזה יש שני מחירים נפרדים. המחיר הראייתי הוא שהתשתית שעליה נבנית ההכרעה הקניינית נוצרה בהליכים שלא נועדו לכך: הוועדה המקומית אינה חוקרת מיהו הבעלים, מחלקת הגבייה אינה מאמתת את הודעות המחזיקים, ואיש מהם אינו נדרש לרמת הדיוק הנדרשת בהכרעה בזכויות. המחיר המוסדי חמור לא פחות: הרשויות עצמן נגררות להתדיינות, נדרשות לחשוף תיקים בני עשרות שנים ולהעמיד עדים, וכל זאת בעניין שאינו מתחומן. ומעל לכול ניצבת השאלה החלוקתית: התיעוד המנהלי קיים היכן שהרשות פעלה ותיעדה, ודווקא ביישובים שבהם ההיערכות התכנונית והמנהלית הייתה חסרה, כפי שתואר בפרק ב, קטן הסיכוי שיימצא בו מענה.</w:t>
      </w:r>
      <w:r>
        <w:rPr>
          <w:rStyle w:val="FootnoteReference"/>
        </w:rPr>
        <w:footnoteReference w:id="93"/>
      </w:r>
      <w:r>
        <w:rPr>
          <w:rFonts w:ascii="David" w:cs="David" w:eastAsia="David" w:hAnsi="David"/>
          <w:sz w:val="24"/>
          <w:szCs w:val="24"/>
          <w:rtl/>
        </w:rPr>
        <w:t xml:space="preserve"> המסקנה המתבקשת אינה לפסול את התיעוד המנהלי כראיה, אלא להכיר בכך שהישענות עליו היא פתרון חירום, ולחתור לצמצומה: בהשלמת הליכי ההסדר, בהנגשת הרישום, ובהסרת החסמים הפיסקליים הנדונים בפרק הבא.</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94"/>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95"/>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או העתק שאושר על ידי נוטריון, הופקד אצל המנהל בתוך המועד הקבוע בסעיף.</w:t>
      </w:r>
      <w:r>
        <w:rPr>
          <w:rStyle w:val="FootnoteReference"/>
        </w:rPr>
        <w:footnoteReference w:id="96"/>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97"/>
      </w:r>
      <w:r>
        <w:rPr>
          <w:rFonts w:ascii="David" w:cs="David" w:eastAsia="David" w:hAnsi="David"/>
          <w:sz w:val="24"/>
          <w:szCs w:val="24"/>
          <w:rtl/>
        </w:rPr>
        <w:t xml:space="preserve"> ודרישת תעודת הרשות המקומית, המעידה על סילוק חובות הארנונה והיטל ההשבחה, כתנאי לרישום ההעברה בפנקסים. שרשרת השוערים העומדים בין העסקה למרשם מונה אפוא לפחות שלושה גורמים (מנהל מיסוי מקרקעין, הרשות המקומית, ולעניין קרקעות המדינה גם רשות מקרקעי ישראל), וכל אחד מהם רשאי לעכב את הרישום עד להסדרת החובות שבתחומו.</w:t>
      </w:r>
      <w:r>
        <w:rPr>
          <w:rStyle w:val="FootnoteReference"/>
        </w:rPr>
        <w:footnoteReference w:id="98"/>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מכירתה של "זכות חוזית שתאפשר בעתיד להירשם כבעלים" חייבת במס ככל מכירת בעלות, ודי בהתחייבות מחייבת כדי להצמיח "יום מכירה" ולהעמיד את החבות על מכונה, אף שהקניין טרם עבר.</w:t>
      </w:r>
      <w:r>
        <w:rPr>
          <w:rStyle w:val="FootnoteReference"/>
        </w:rPr>
        <w:footnoteReference w:id="99"/>
      </w:r>
      <w:r>
        <w:rPr>
          <w:rFonts w:ascii="David" w:cs="David" w:eastAsia="David" w:hAnsi="David"/>
          <w:sz w:val="24"/>
          <w:szCs w:val="24"/>
          <w:rtl/>
        </w:rPr>
        <w:t xml:space="preserve"> רוחב יריעה זה מרחיק לכת עד כדי לכידת ההחזקות הרופפות ביותר: אף "הרשאה" במקרקעי ישראל, מעמד של בר רשות גרידא המתחדש מעת לעת,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100"/>
      </w:r>
      <w:r>
        <w:rPr>
          <w:rFonts w:ascii="David" w:cs="David" w:eastAsia="David" w:hAnsi="David"/>
          <w:sz w:val="24"/>
          <w:szCs w:val="24"/>
          <w:rtl/>
        </w:rPr>
        <w:t xml:space="preserve"> תמונה מקבילה עולה מזירה כלכלית נוספת,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101"/>
      </w:r>
      <w:r>
        <w:rPr>
          <w:rFonts w:ascii="David" w:cs="David" w:eastAsia="David" w:hAnsi="David"/>
          <w:sz w:val="24"/>
          <w:szCs w:val="24"/>
          <w:rtl/>
        </w:rPr>
        <w:t xml:space="preserve"> התוצאה המבנית מרתקת: הדין הכלכלי, המס הגובה מזה והפיצוי התכנוני המשולם מזה,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jc w:val="both"/>
      </w:pPr>
      <w:r>
        <w:rPr>
          <w:rFonts w:ascii="David" w:cs="David" w:eastAsia="David" w:hAnsi="David"/>
          <w:sz w:val="24"/>
          <w:szCs w:val="24"/>
          <w:rtl/>
        </w:rPr>
        <w:t xml:space="preserve">טלו עסקה טיפוסית: בשנת 1978 מכר, או העניק,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אם לצורך משכנתה, אם בעקבות סכסוך, מתעוררות שלוש שכבות של חבות: מס השבח (או מס המתנה ההיסטורי, לפי הדין שחל במועד העסקה) בגין המכירה המקורית; מס הרכישה; והפרשי הצמדה, ריבית וקנסות בגין אי ההצהרה, המצטברים ממועד העסקה.</w:t>
      </w:r>
      <w:r>
        <w:rPr>
          <w:rStyle w:val="FootnoteReference"/>
        </w:rPr>
        <w:footnoteReference w:id="102"/>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מחלוקת שיש לה נפקות מס ישירה. השומה נערכת אז לפי מיטב השפיטה, על יסוד הערכות שווי היסטוריות משוחזרות, והליכי ההשגה והערר על שומה כזו מוסיפים אף הם עלות, זמן ואי ודאות להליך שממילא נפתח באיחור של דור.</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 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ההצהרה ניתנת להגשה באיחור, ומשעה שהתקיים אחד התנאים, ניתן לעסקה תוקף רטרואקטיבי מיום כריתתה.</w:t>
      </w:r>
      <w:r>
        <w:rPr>
          <w:rStyle w:val="FootnoteReference"/>
        </w:rPr>
        <w:footnoteReference w:id="103"/>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שכן פסק הדין המצהיר על הזכות אינו פוטר מהסדרת החבויות כתנאי לרישום.</w:t>
      </w:r>
    </w:p>
    <w:p>
      <w:pPr>
        <w:bidi/>
        <w:spacing w:after="160" w:line="360"/>
        <w:ind w:firstLine="420"/>
        <w:jc w:val="both"/>
      </w:pPr>
      <w:r>
        <w:rPr>
          <w:rFonts w:ascii="David" w:cs="David" w:eastAsia="David" w:hAnsi="David"/>
          <w:sz w:val="24"/>
          <w:szCs w:val="24"/>
          <w:rtl/>
        </w:rPr>
        <w:t xml:space="preserve">קושי מיוחד מתעורר בשרשרת של העברות בלתי מדווחות. כל חוליה בשרשרת היא "מכירה" נפרדת המקימה אירוע מס עצמאי, ולכן מי שמבקש להסדיר היום את רישומו נדרש להסדיר תחילה את כל החוליות שקדמו לו: את מכירת הסב לאב, את חלוקת האב בין בניו, ולעיתים גם את ההעברות שנעשו בין האחים לאחר מכן. הצטברות זו היא שהופכת את החסם מקושי נקודתי למחסום מערכתי, שכן העלות אינה עומדת ביחס לשווי החלקה הבודדת אלא לשווייה המצטבר של השרשרת כולה. לכך מצטרפת שאלת זהות הנישום: בהיעדר דיווח בזמן אמת, לא תמיד ברור מי מבין החוליות הוא "המוכר" ומי "הקונה", ובני משפחה מוצאים עצמם מתדיינים אלה מול אלה לא רק על הזכות אלא גם על נטל המס שבצדה.</w:t>
      </w:r>
      <w:r>
        <w:rPr>
          <w:rStyle w:val="FootnoteReference"/>
        </w:rPr>
        <w:footnoteReference w:id="104"/>
      </w:r>
      <w:r>
        <w:rPr>
          <w:rFonts w:ascii="David" w:cs="David" w:eastAsia="David" w:hAnsi="David"/>
          <w:sz w:val="24"/>
          <w:szCs w:val="24"/>
          <w:rtl/>
        </w:rPr>
        <w:t xml:space="preserve"> יוער כי הדין מכיר בהקלות מסוימות בהעברות בין קרובים, ובראשן שיעורי מס רכישה מופחתים ופטורים ייחודיים למתנות במשפחה; אלא שהקלות אלה מכוונות לעסקאות המדווחות במועדן, ואינן מסירות את מחסום הקנסות, ההצמדה והריבית שנצברו בעסקה שלא דווחה במשך עשורים. וזוהי בדיוק נקודת התורפה שאליה מכוונת הצעת ההסדרה שתידון בפרק ז.</w:t>
      </w:r>
    </w:p>
    <w:p>
      <w:pPr>
        <w:pStyle w:val="Heading2"/>
        <w:bidi/>
        <w:spacing w:after="180" w:before="280"/>
      </w:pPr>
      <w:r>
        <w:rPr>
          <w:rFonts w:ascii="David" w:cs="David" w:eastAsia="David" w:hAnsi="David"/>
          <w:b/>
          <w:bCs/>
          <w:color w:val="000000"/>
          <w:sz w:val="28"/>
          <w:szCs w:val="28"/>
          <w:rtl/>
        </w:rPr>
        <w:t xml:space="preserve">ה.3 ביקורת: כלי למניעת העלמה שהפך חסם</w:t>
      </w:r>
    </w:p>
    <w:p>
      <w:pPr>
        <w:bidi/>
        <w:spacing w:after="160" w:line="36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 פעמית, והתמריץ היחיד לדיווח הוא המחסום הרישומי. בשוק כזה המנגנון יעיל: הקונה, החפץ ברישום מיידי, כופה את הדיווח על שני הצדדים. ואולם, ביישומו על ההעברה הפנים משפחתית בחברה הערבית מתהפכת הלוגיקה: הצדדים אינם חפצים ברישום מיידי, שכן ההעברה "הושלמה" מבחינתם במסירת החזקה ובייפוי הכוח,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 רישום. וזוהי, שוב, התוצאה החלוקתית שתוארה בפרק א: מנגנון אחיד להלכה, שנטלו נופל בפועל על אוכלוסייה מובחנת, דווקא זו שהוודאות הקניינית נחוצה לה מכל.</w:t>
      </w:r>
      <w:r>
        <w:rPr>
          <w:rStyle w:val="FootnoteReference"/>
        </w:rPr>
        <w:footnoteReference w:id="105"/>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 דורית: ככל שחולף הזמן עלות ההסדרה גדלה.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נכסים שאינם ניתנים למשכון, לביטוח ולמימוש שוקי.</w:t>
      </w:r>
      <w:r>
        <w:rPr>
          <w:rStyle w:val="FootnoteReference"/>
        </w:rPr>
        <w:footnoteReference w:id="106"/>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יחד עם הקרקע, את אי הבהירות ואת פוטנציאל העימות. "התניית הרישום" איננה אפוא רק שאלה פיסקלית; היא גורם ישיר בייצור ההתדיינות הפנים 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 הדיווח ההיסטורי מקשה על הטוען לעסקה להציג את סממני האמינות שמערכת המס מספקת בדרך כלל, ובהם שומה עצמית מזמן אמת, אישורי תשלום והצהרות חתומות. בהיעדרם נשען בית המשפט על הראיות הנסיבתיות שנדונו בפרק ד. ומנגד, טענת יורש כי "אילו הייתה עסקה, הייתה מדווחת" זוכה בפסיקה למשקל מוגבל, שכן אי הדיווח היה, כמתואר, נורמה חברתית רחבה ולא אינדיקציה לפיקטיביות העסקה הקונקרטית.</w:t>
      </w:r>
      <w:r>
        <w:rPr>
          <w:rStyle w:val="FootnoteReference"/>
        </w:rPr>
        <w:footnoteReference w:id="107"/>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(המשפט המקובל, המשפט המצרי והמשפט השרעי)</w:t>
      </w:r>
    </w:p>
    <w:p>
      <w:pPr>
        <w:bidi/>
        <w:spacing w:after="160" w:line="36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משפטי ושביושר,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הקַבְּץ׳ וה"חִיאזָה", במרכז ההקניה. כל אחת מהן משיבה, בדרכה, על שאלות המחקר של עבודה זו.</w:t>
      </w:r>
      <w:r>
        <w:rPr>
          <w:rStyle w:val="FootnoteReference"/>
        </w:rPr>
        <w:footnoteReference w:id="108"/>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jc w:val="both"/>
      </w:pPr>
      <w:r>
        <w:rPr>
          <w:rFonts w:ascii="David" w:cs="David" w:eastAsia="David" w:hAnsi="David"/>
          <w:sz w:val="24"/>
          <w:szCs w:val="24"/>
          <w:rtl/>
        </w:rPr>
        <w:t xml:space="preserve">אבן הפינה של הדין האנגלי בסוגייתנו הונחה במאה התשע עשרה: משנכרת חוזה מכר מקרקעין הניתן לאכיפה בעין, הופך המוכר לנאמן של הקונה, והקונה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10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110"/>
      </w:r>
      <w:r>
        <w:rPr>
          <w:rFonts w:ascii="David" w:cs="David" w:eastAsia="David" w:hAnsi="David"/>
          <w:sz w:val="24"/>
          <w:szCs w:val="24"/>
          <w:rtl/>
        </w:rPr>
        <w:t xml:space="preserve"> שימו לב לעומק הרעיון: החוזה עצמו, ולא הרישום, הוא המכונן את הזיקה הקניינית, והמרשם בא רק לשכללה כלפי העולם.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111"/>
      </w:r>
    </w:p>
    <w:p>
      <w:pPr>
        <w:bidi/>
        <w:spacing w:after="160" w:line="360"/>
        <w:ind w:firstLine="420"/>
        <w:jc w:val="both"/>
      </w:pPr>
      <w:r>
        <w:rPr>
          <w:rFonts w:ascii="David" w:cs="David" w:eastAsia="David" w:hAnsi="David"/>
          <w:sz w:val="24"/>
          <w:szCs w:val="24"/>
          <w:rtl/>
        </w:rPr>
        <w:t xml:space="preserve">שתי הסתייגויות תוחמות את הדוקטרינה, ושתיהן מאלפות לענייננו. הראשונה: הבעלות שביושר קמה רק מקום שהחוזה ניתן לאכיפה בעין, ומכאן שהיא נשללת ממי שהתנהגותו שוללת ממנו סעד מן היושר, בין משום שלא קיים את חלקו, בין משום ששיהה את תביעתו שיהוי ניכר. השנייה: הנאמנות שנוצרת אינה נאמנות מלאה אלא נאמנות מסויגת, שכן המוכר נותר בעל אינטרס בנכס עד לתשלום מלוא התמורה, והתוצאה היא חלוקה של סיכונים ושל פירות בין שני הרבדים עד להשלמת ההעברה. הנה כי כן, אף השיטה שהעניקה למחזיק הבלתי רשום את ההגנה הרחבה ביותר לא ויתרה על התניית ההגנה בהתנהגות ראויה של הטוען לה.</w:t>
      </w:r>
      <w:r>
        <w:rPr>
          <w:rStyle w:val="FootnoteReference"/>
        </w:rPr>
        <w:footnoteReference w:id="112"/>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בדומה לסעיף 7 לחוק הישראלי, כי דיספוזיציה טעונת רישום "אינה פועלת במשפט" עד שמולאו דרישות הרישום.</w:t>
      </w:r>
      <w:r>
        <w:rPr>
          <w:rStyle w:val="FootnoteReference"/>
        </w:rPr>
        <w:footnoteReference w:id="113"/>
      </w:r>
      <w:r>
        <w:rPr>
          <w:rFonts w:ascii="David" w:cs="David" w:eastAsia="David" w:hAnsi="David"/>
          <w:sz w:val="24"/>
          <w:szCs w:val="24"/>
          <w:rtl/>
        </w:rPr>
        <w:t xml:space="preserve"> בפרק הזמן שבין השלמת העסקה לרישומה, "פער הרישום",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114"/>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הגנה שהמשפט הישראלי מעניק רק בעקיפין, דרך תום הלב הנדרש מן הרוכש השני לפי סעיף 9. ראוי לציין כי המוסד שנוי במחלוקת גם באנגליה: הוא נתפס כסדק ב"עקרון המראה" של המרשם, והצעות הרפורמה העדכניות של נציבות המשפט מבקשות לצמצמו, אך לא לבטלו, דווקא מתוך הכרה בערך ההגנה על המחזיק בפועל.</w:t>
      </w:r>
      <w:r>
        <w:rPr>
          <w:rStyle w:val="FootnoteReference"/>
        </w:rPr>
        <w:footnoteReference w:id="115"/>
      </w:r>
    </w:p>
    <w:p>
      <w:pPr>
        <w:bidi/>
        <w:spacing w:after="160" w:line="360"/>
        <w:ind w:firstLine="420"/>
        <w:jc w:val="both"/>
      </w:pPr>
      <w:r>
        <w:rPr>
          <w:rFonts w:ascii="David" w:cs="David" w:eastAsia="David" w:hAnsi="David"/>
          <w:sz w:val="24"/>
          <w:szCs w:val="24"/>
          <w:rtl/>
        </w:rPr>
        <w:t xml:space="preserve">להשוואה המבנית נודעת חשיבות החורגת מן הפרט. שיטת הרישום האנגלית נשענת על שלושה עקרונות: עקרון המראה, שלפיו המרשם משקף את מלוא הזכויות; עקרון הווילון, שלפיו אין הרוכש נדרש לחקור מעבר למרשם; ועקרון הפיצוי, שלפיו מי שניזוק מטעות במרשם זכאי לשיפוי מקופה ציבורית. הזכויות הגוברות פוגמות בשניים הראשונים, אך העיקרון השלישי הוא שמאפשר לשיטה לשאת את הפגם: המדינה, שנטלה על עצמה את ניהול המרשם, נושאת גם באחריות לכשליו. הדין הישראלי אימץ את שני העקרונות הראשונים בגרסה מחמירה אף מזו האנגלית, אך לא אימץ מנגנון שיפוי מקביל, ותוצאת הטעות או הפער נותרת כולה על כתפי הפרט.</w:t>
      </w:r>
      <w:r>
        <w:rPr>
          <w:rStyle w:val="FootnoteReference"/>
        </w:rPr>
        <w:footnoteReference w:id="116"/>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jc w:val="both"/>
      </w:pPr>
      <w:r>
        <w:rPr>
          <w:rFonts w:ascii="David" w:cs="David" w:eastAsia="David" w:hAnsi="David"/>
          <w:sz w:val="24"/>
          <w:szCs w:val="24"/>
          <w:rtl/>
        </w:rPr>
        <w:t xml:space="preserve">את מקומם של ייפוי הכוח והעסקה בעל פה הישראליים ממלאים באנגליה שני מוסדות יושר, המשיבים יחדיו על שאלות המחקר הראשונה והשלישית. הראשון,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(תרומות, כוונות, אורח חיים) ולא מן הרישום בלבד; ההלכה אף הכירה בכך שהכוונה המשותפת עשויה להשתנות עם השנים, כך שהחלוקה נקבעת לפי מלוא תולדות היחסים ולא לפי רגע הרכישה בלבד.</w:t>
      </w:r>
      <w:r>
        <w:rPr>
          <w:rStyle w:val="FootnoteReference"/>
        </w:rPr>
        <w:footnoteReference w:id="117"/>
      </w:r>
      <w:r>
        <w:rPr>
          <w:rFonts w:ascii="David" w:cs="David" w:eastAsia="David" w:hAnsi="David"/>
          <w:sz w:val="24"/>
          <w:szCs w:val="24"/>
          <w:rtl/>
        </w:rPr>
        <w:t xml:space="preserve"> השני,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אף מרומזות,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118"/>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ירושת המשק, ולא פיצוי על ההסתמכות בלבד; ובה בעת הוכרה סמכות לגוון את הסעד, בנאמנות, בתשלום מיידי או בתשלום דחוי, כדי שלא יעלה הסעד על הנדרש למניעת אי הצדק.</w:t>
      </w:r>
      <w:r>
        <w:rPr>
          <w:rStyle w:val="FootnoteReference"/>
        </w:rPr>
        <w:footnoteReference w:id="119"/>
      </w:r>
      <w:r>
        <w:rPr>
          <w:rFonts w:ascii="David" w:cs="David" w:eastAsia="David" w:hAnsi="David"/>
          <w:sz w:val="24"/>
          <w:szCs w:val="24"/>
          <w:rtl/>
        </w:rPr>
        <w:t xml:space="preserve"> העיקרון המארגן הוא הגנה מובנית מפני התנהגות בלתי מצפונית: ההסתמכות הפיזית רבת השנים בנכס גוברת על הצורה ועל הרישום הפורמלי. הדמיון לעובדות המקרים הישראליים (הבן שבנה על חלקת אביו, האח שעיבד את האדמה בהבטחה שתהיה שלו)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אך בלא המסגרת הדוקטרינרית הסדורה שפיתח הדין האנגלי.</w:t>
      </w:r>
    </w:p>
    <w:p>
      <w:pPr>
        <w:bidi/>
        <w:spacing w:after="160" w:line="360"/>
        <w:ind w:firstLine="420"/>
        <w:jc w:val="both"/>
      </w:pPr>
      <w:r>
        <w:rPr>
          <w:rFonts w:ascii="David" w:cs="David" w:eastAsia="David" w:hAnsi="David"/>
          <w:sz w:val="24"/>
          <w:szCs w:val="24"/>
          <w:rtl/>
        </w:rPr>
        <w:t xml:space="preserve">ההבדל בין שני המוסדות אינו סמנטי. הנאמנות המשתמעת היא מוסד מהותי: היא מצהירה על זכות קניינית שביושר שכבר קיימת, ומכאן שהיא פועלת ממילא כלפי צדדים שלישיים ואינה נתונה לשיקול דעת בהיקפה. ההשתק הקנייני, לעומתה, הוא מוסד תרופתי: הוא מקים "שוויון גולמי" שבית המשפט נדרש לתרגמו לסעד, והסעד עשוי לנוע מהעברת הנכס במלואו, דרך זכות מגורים לכל החיים, ועד לפיצוי כספי בלבד. ארבעת יסודותיו זוקקו בפסיקה: הבטחה או מצג בדבר זכות בנכס; הסתמכות עליהם; שינוי מצב לרעה בעקבות ההסתמכות; ואי מצפוניות בהתכחשות. דווקא הגמישות התרופתית הזו, המתוחמת ביסודות מוגדרים, היא שהופכת את המודל האנגלי למועמד טבעי לשאילה בפרק הדיון: הוא משיג את הגמישות שהדין הישראלי מבקש בכלי "זעקת ההגינות", אך משיג אותה בתוך מסגרת שניתן לבקר ולנבא.</w:t>
      </w:r>
      <w:r>
        <w:rPr>
          <w:rStyle w:val="FootnoteReference"/>
        </w:rPr>
        <w:footnoteReference w:id="120"/>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jc w:val="both"/>
      </w:pPr>
      <w:r>
        <w:rPr>
          <w:rFonts w:ascii="David" w:cs="David" w:eastAsia="David" w:hAnsi="David"/>
          <w:sz w:val="24"/>
          <w:szCs w:val="24"/>
          <w:rtl/>
        </w:rPr>
        <w:t xml:space="preserve">בדיני המתנה מחזיק המשפט המקובל בכלל נוקשה: "היושר לא ישלים מתנה פגומה".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21"/>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ולא על מתנדב.</w:t>
      </w:r>
      <w:r>
        <w:rPr>
          <w:rStyle w:val="FootnoteReference"/>
        </w:rPr>
        <w:footnoteReference w:id="122"/>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23"/>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24"/>
      </w:r>
      <w:r>
        <w:rPr>
          <w:rFonts w:ascii="David" w:cs="David" w:eastAsia="David" w:hAnsi="David"/>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25"/>
      </w:r>
      <w:r>
        <w:rPr>
          <w:rFonts w:ascii="David" w:cs="David" w:eastAsia="David" w:hAnsi="David"/>
          <w:sz w:val="24"/>
          <w:szCs w:val="24"/>
          <w:rtl/>
        </w:rPr>
        <w:t xml:space="preserve"> ודוק, הבדל אחד חשוב: במשפט המקובל האינטרס המבטיח את אי ההדירות חייב להיות אינטרס של מיופה הכוח עצמו, ואילו חוק השליחות הישראלי הרחיב את ההגנה גם לאינטרס של צד שלישי, הרחבה שחשיבותה רבה דווקא בעסקאות המשפחתיות, שבהן ייפוי הכוח ניתן תכופות להבטחת זכותו של בן משפחה שאינו מיופה הכוח.</w:t>
      </w:r>
      <w:r>
        <w:rPr>
          <w:rStyle w:val="FootnoteReference"/>
        </w:rPr>
        <w:footnoteReference w:id="126"/>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צעד שהעצים את חשיבות מוסדות היושר כמסלול ההגנה שנותר למחזיק הבלתי רשום.</w:t>
      </w:r>
      <w:r>
        <w:rPr>
          <w:rStyle w:val="FootnoteReference"/>
        </w:rPr>
        <w:footnoteReference w:id="127"/>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והמציאות: אין רישום</w:t>
      </w:r>
    </w:p>
    <w:p>
      <w:pPr>
        <w:bidi/>
        <w:spacing w:after="160" w:line="36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התחייבות המוכר להעביר את הבעלות כנגד מחיר,</w:t>
      </w:r>
      <w:r>
        <w:rPr>
          <w:rStyle w:val="FootnoteReference"/>
        </w:rPr>
        <w:footnoteReference w:id="128"/>
      </w:r>
      <w:r>
        <w:rPr>
          <w:rFonts w:ascii="David" w:cs="David" w:eastAsia="David" w:hAnsi="David"/>
          <w:sz w:val="24"/>
          <w:szCs w:val="24"/>
          <w:rtl/>
        </w:rPr>
        <w:t xml:space="preserve"> וקבע, בסעיף 934, כי הבעלות בזכויות מקרקעין אינה עוברת, לא בין הצדדים ולא כלפי צדדים שלישיים,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29"/>
      </w:r>
      <w:r>
        <w:rPr>
          <w:rFonts w:ascii="David" w:cs="David" w:eastAsia="David" w:hAnsi="David"/>
          <w:sz w:val="24"/>
          <w:szCs w:val="24"/>
          <w:rtl/>
        </w:rPr>
        <w:t xml:space="preserve"> עד כאן,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30"/>
      </w:r>
      <w:r>
        <w:rPr>
          <w:rFonts w:ascii="David" w:cs="David" w:eastAsia="David" w:hAnsi="David"/>
          <w:sz w:val="24"/>
          <w:szCs w:val="24"/>
          <w:rtl/>
        </w:rPr>
        <w:t xml:space="preserve"> הגורמים שזוהו בספרות מוכרים לנו היטב מפרק ה: אגרות רישום גבוהות שנגזרו משווי הנכס, הליכים בירוקרטיים ממושכים, דרישות תיעוד שאין בידי המחזיקים למלא לגבי שרשרות עסקאות בלתי רשומות, וחששם של המחזיקים מחשיפה לרשויות המס. התוצאה: שוק שלם המתנהל ב"חוזים עורפיים" (עוּרפי), חוזים פרטיים בלתי רשומים המועברים מיד ליד.</w:t>
      </w:r>
      <w:r>
        <w:rPr>
          <w:rStyle w:val="FootnoteReference"/>
        </w:rPr>
        <w:footnoteReference w:id="131"/>
      </w:r>
    </w:p>
    <w:p>
      <w:pPr>
        <w:bidi/>
        <w:spacing w:after="160" w:line="360"/>
        <w:ind w:firstLine="420"/>
        <w:jc w:val="both"/>
      </w:pPr>
      <w:r>
        <w:rPr>
          <w:rFonts w:ascii="David" w:cs="David" w:eastAsia="David" w:hAnsi="David"/>
          <w:sz w:val="24"/>
          <w:szCs w:val="24"/>
          <w:rtl/>
        </w:rPr>
        <w:t xml:space="preserve">ראוי לעמוד על מבנה הרישום המצרי, שכן דווקא בו נעוץ חלק מן הכשל. במצרים פועלות זו לצד זו שתי שיטות: רישום שטרות פרסונלי, המאורגן לפי שמות הצדדים ולא לפי הנכס, החולש על מרבית שטח המדינה; ורישום זכויות קדסטרלי, המאורגן לפי חלקות, שתחולתו מוגבלת לאזורים שבהם הושלמו מדידות. במרשם הפרסונלי אין "דף חלקה" שאפשר לעיין בו, ובירור הזכויות מחייב מעקב אחר שרשרת שטרות לפי שמות, מלאכה יקרה ובלתי ודאית. התוצאה היא שאף מי שמבקש לרשום נתקל בקושי מובנה, ולא רק בעלות ובבירוקרטיה.</w:t>
      </w:r>
      <w:r>
        <w:rPr>
          <w:rStyle w:val="FootnoteReference"/>
        </w:rPr>
        <w:footnoteReference w:id="132"/>
      </w:r>
      <w:r>
        <w:rPr>
          <w:rFonts w:ascii="David" w:cs="David" w:eastAsia="David" w:hAnsi="David"/>
          <w:sz w:val="24"/>
          <w:szCs w:val="24"/>
          <w:rtl/>
        </w:rPr>
        <w:t xml:space="preserve"> ההקבלה למצב הישראלי גלויה: אף בישראל, כפי שנדון בפרק א.2, פועלים זה לצד זה פנקס זכויות ופנקס שטרות, ואף בה נותרו אזורים שלמים מחוץ למרשם המסודר. ההבדל הוא בסדרי הגודל, לא באופי הבעיה, ובכך חשיבותה של ההשוואה.</w:t>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והיא שם שיטת ההעברה הדומיננטית: המוכר אינו רושם דבר, אלא מעניק לקונה "תַוְכִּיל", ייפוי כוח בלתי הדיר,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ממש כסעיף 14(ב) הישראלי.</w:t>
      </w:r>
      <w:r>
        <w:rPr>
          <w:rStyle w:val="FootnoteReference"/>
        </w:rPr>
        <w:footnoteReference w:id="133"/>
      </w:r>
      <w:r>
        <w:rPr>
          <w:rFonts w:ascii="David" w:cs="David" w:eastAsia="David" w:hAnsi="David"/>
          <w:sz w:val="24"/>
          <w:szCs w:val="24"/>
          <w:rtl/>
        </w:rPr>
        <w:t xml:space="preserve"> נקודות התורפה של המכשיר זהות אף הן לאלו שנחשפו בפרק ג: ייפוי הכוח פוקע במות המרשה, ואינו מגן מפני מכירה כפולה לרוכש שירשם ראשון. לצדו פיתח הדין המצרי שתי תביעות ייחודיות: "תביעת אימות החתימה" (דעוא צחת אל-תוקיע), הליך שמרני שבו מאשר בית המשפט אך את אמיתות חתימת המוכר, בלא לבחון את תוקף העסקה; ו"תביעת התוקף והנפקות" (דעוא צחה ונפאד׳),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34"/>
      </w:r>
    </w:p>
    <w:p>
      <w:pPr>
        <w:bidi/>
        <w:spacing w:after="160" w:line="360"/>
        <w:ind w:firstLine="420"/>
        <w:jc w:val="both"/>
      </w:pPr>
      <w:r>
        <w:rPr>
          <w:rFonts w:ascii="David" w:cs="David" w:eastAsia="David" w:hAnsi="David"/>
          <w:sz w:val="24"/>
          <w:szCs w:val="24"/>
          <w:rtl/>
        </w:rPr>
        <w:t xml:space="preserve">המחיר שגובה הפרקטיקה הזו במצרים מלמד מה עלול לקרות גם בישראל אם לא יוסרו החסמים. ראשית, נוצרות שרשראות של ייפויי כוח: הקונה הראשון אינו רושם, ובבואו למכור הוא מעביר לקונה השני את ייפוי הכוח שקיבל, וכך נמשך הדבר דורות, עד שהמרשה המקורי אינו בין החיים ואיש אינו יודע אם ייפוי הכוח עודנו בתוקף. שנית, מאחר שהמרשם אינו משקף דבר, גובר הסיכון למכירות כפולות, ולרוכש אין דרך מעשית לבדוק אם המוכר כבר התחייב לאחר. שלישית, וכתוצאה משתי אלה, נוצר ביקוש עצום להליכים שיפוטיים מאשרים, ובתי המשפט הופכים, הלכה למעשה, לתחליף למרשם, בדיוק כפי שהוועדה המקומית ומחלקת הגבייה הופכות לתחליף כזה בישראל, כמתואר בפרק ד.5.</w:t>
      </w:r>
      <w:r>
        <w:rPr>
          <w:rStyle w:val="FootnoteReference"/>
        </w:rPr>
        <w:footnoteReference w:id="135"/>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jc w:val="both"/>
      </w:pPr>
      <w:r>
        <w:rPr>
          <w:rFonts w:ascii="David" w:cs="David" w:eastAsia="David" w:hAnsi="David"/>
          <w:sz w:val="24"/>
          <w:szCs w:val="24"/>
          <w:rtl/>
        </w:rPr>
        <w:t xml:space="preserve">כאן טמון ההבדל המבני החשוב ביותר בין מצרים לישראל, והוא מענה חקיקתי ישיר לשאלות המחקר. סעיף 968 לקוד האזרחי המצרי קובע התיישנות רוכשת ארוכה: מי שהחזיק במקרקעין (או במיטלטלין) חזקה רצופה במשך חמש עשרה שנים, רוכש את הבעלות בהם, בלא צורך בשטר ובלא דרישת תום לב.</w:t>
      </w:r>
      <w:r>
        <w:rPr>
          <w:rStyle w:val="FootnoteReference"/>
        </w:rPr>
        <w:footnoteReference w:id="136"/>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שטר שנרכש בתום לב ממי שאינו הבעלים ונרשם כדין.</w:t>
      </w:r>
      <w:r>
        <w:rPr>
          <w:rStyle w:val="FootnoteReference"/>
        </w:rPr>
        <w:footnoteReference w:id="137"/>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סייג שצמצם מאוד את תחולת הדוקטרינה על קרקעות ציבוריות, אך הותיר אותה מלאה ביחסים שבין פרטים.</w:t>
      </w:r>
      <w:r>
        <w:rPr>
          <w:rStyle w:val="FootnoteReference"/>
        </w:rPr>
        <w:footnoteReference w:id="138"/>
      </w:r>
      <w:r>
        <w:rPr>
          <w:rFonts w:ascii="David" w:cs="David" w:eastAsia="David" w:hAnsi="David"/>
          <w:sz w:val="24"/>
          <w:szCs w:val="24"/>
          <w:rtl/>
        </w:rPr>
        <w:t xml:space="preserve"> המשמעות לסכסוך הפנים משפחתי מרחיקת לכת: במצרים, האח שהחזיק בחלקה חמש עשרה שנים ללא עוררין הוא בעליה כדין, והתיישנותו "מנקה" את שרשרת העסקאות ההיסטורית,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39"/>
      </w:r>
    </w:p>
    <w:p>
      <w:pPr>
        <w:bidi/>
        <w:spacing w:after="160" w:line="360"/>
        <w:ind w:firstLine="420"/>
        <w:jc w:val="both"/>
      </w:pPr>
      <w:r>
        <w:rPr>
          <w:rFonts w:ascii="David" w:cs="David" w:eastAsia="David" w:hAnsi="David"/>
          <w:sz w:val="24"/>
          <w:szCs w:val="24"/>
          <w:rtl/>
        </w:rPr>
        <w:t xml:space="preserve">אין מדובר בהפקרת הבעלות. הדין המצרי מתנה את ההתיישנות הרוכשת ביסודות מחמירים, שנועדו להבטיח כי החזקה אכן שידרה בעלות כלפי חוץ: היא צריכה להיות רצופה, שקטה, גלויה ובלתי דו משמעית, כלומר לא נסתרת, לא אלימה ולא מעורפלת; ומי שהחזיק מכוח הסכמת הבעלים, כשוכר או כבר רשות, אינו יכול לרכוש בעלות אלא אם שינה בגלוי את אופי החזקתו. ההבדל מן הדין הישראלי אינו אפוא בקפדנות הדרישות אלא בתוצאה: בישראל, גם מי שעמד בכל היסודות הללו זוכה לכל היותר במחסום דיוני מפני תביעה, ואילו במצרים הוא רוכש בעלות של ממש, הניתנת לרישום ולהעברה.</w:t>
      </w:r>
      <w:r>
        <w:rPr>
          <w:rStyle w:val="FootnoteReference"/>
        </w:rPr>
        <w:footnoteReference w:id="140"/>
      </w:r>
      <w:r>
        <w:rPr>
          <w:rFonts w:ascii="David" w:cs="David" w:eastAsia="David" w:hAnsi="David"/>
          <w:sz w:val="24"/>
          <w:szCs w:val="24"/>
          <w:rtl/>
        </w:rPr>
        <w:t xml:space="preserve"> לכך נודעת נפקות מכרעת לענייננו: ההתיישנות הרוכשת אינה רק כלי הגנה בידי המחזיק, אלא גם מנגנון ניקוי שרשראות, המאפשר למערכת להשלים עם עסקאות היסטוריות שתיעודן אבד, בלא לחייב את בתי המשפט לשחזר אותן אחת לאחת. זהו בדיוק המנגנון שהעדרו מכביד כל כך על הדין הישראלי, ופרק הדיון ישוב לשאלה אם ניתן להשיג תוצאה דומה בכלים אחרים.</w:t>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שכן הצעד נתפס כהתניית שירותים חיוניים בתשלום כופר רישומי, והנשיא א-סיסי הורה לדחות את יישום החוק בשנתיים.</w:t>
      </w:r>
      <w:r>
        <w:rPr>
          <w:rStyle w:val="FootnoteReference"/>
        </w:rPr>
        <w:footnoteReference w:id="141"/>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והחשוב מכל: ניתק את הרישום מתשלום מס העסקה, כך שאי הסדרת המס שוב אינה חוסמת את שערי המרשם.</w:t>
      </w:r>
      <w:r>
        <w:rPr>
          <w:rStyle w:val="FootnoteReference"/>
        </w:rPr>
        <w:footnoteReference w:id="142"/>
      </w:r>
      <w:r>
        <w:rPr>
          <w:rFonts w:ascii="David" w:cs="David" w:eastAsia="David" w:hAnsi="David"/>
          <w:sz w:val="24"/>
          <w:szCs w:val="24"/>
          <w:rtl/>
        </w:rPr>
        <w:t xml:space="preserve"> אשר לכינוי "המשפט המצרי (השרעי)",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 צרפתיים. השריעה שולטת שליטה מלאה בתחום אחד הקריטי לענייננו, הירושה: חוק הירושה המצרי (חוק מס׳ 77 לשנת 1943) הוא קודיפיקציה של דיני הפַרַאאִץ׳ השרעיים.</w:t>
      </w:r>
      <w:r>
        <w:rPr>
          <w:rStyle w:val="FootnoteReference"/>
        </w:rPr>
        <w:footnoteReference w:id="143"/>
      </w:r>
      <w:r>
        <w:rPr>
          <w:rFonts w:ascii="David" w:cs="David" w:eastAsia="David" w:hAnsi="David"/>
          <w:sz w:val="24"/>
          <w:szCs w:val="24"/>
          <w:rtl/>
        </w:rPr>
        <w:t xml:space="preserve"> צירוף זה, ירושה שרעית קוגנטית מעל מרשם ריק, מוליד במצרים בדיוק את הסכסוך הפנים משפחתי המוכר מבתי המשפט בנצרת: עיזבון בלתי רשום, מנות שרעיות תיאורטיות, והחזקות בפועל שחילקה המשפחה בדרכה שלה.</w:t>
      </w:r>
    </w:p>
    <w:p>
      <w:pPr>
        <w:bidi/>
        <w:spacing w:after="160" w:line="360"/>
        <w:ind w:firstLine="420"/>
        <w:jc w:val="both"/>
      </w:pPr>
      <w:r>
        <w:rPr>
          <w:rFonts w:ascii="David" w:cs="David" w:eastAsia="David" w:hAnsi="David"/>
          <w:sz w:val="24"/>
          <w:szCs w:val="24"/>
          <w:rtl/>
        </w:rPr>
        <w:t xml:space="preserve">שלושה לקחי מדיניות עולים מרצף האירועים של 2020–2022, וכולם נוגעים במישרין לשאלת המחקר השנייה. הראשון נוגע לכיוון הכפייה: הניסיון לכפות רישום באמצעות שלילת שירותים חיוניים כשל מיידית, משום שהוא הטיל את מלוא הנטל על האזרח בלי להסיר ולו חסם אחד מן החסמים שמנעו ממנו לרשום מלכתחילה. השני נוגע לתמחור: המעבר מאגרה יחסית, הנגזרת משווי הנכס, לאגרה קבועה ומתונה, שינה את מבנה התמריצים כולו, שכן הוא ניתק את עלות הרישום מעלות הנכס והפך אותה לצפויה מראש. השלישי, והחשוב מכולם, נוגע לצימוד: הפרדת הרישום מגביית המס פירושה ויתור מודע על מנוף גבייה, מתוך הכרה שמרשם מתפקד הוא נכס ציבורי שערכו עולה על ההכנסה הפיסקלית שאותו מנוף עשוי היה להניב, ובוודאי כאשר בפועל הוא אינו מניב אותה כלל.</w:t>
      </w:r>
      <w:r>
        <w:rPr>
          <w:rStyle w:val="FootnoteReference"/>
        </w:rPr>
        <w:footnoteReference w:id="144"/>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jc w:val="both"/>
      </w:pPr>
      <w:r>
        <w:rPr>
          <w:rFonts w:ascii="David" w:cs="David" w:eastAsia="David" w:hAnsi="David"/>
          <w:sz w:val="24"/>
          <w:szCs w:val="24"/>
          <w:rtl/>
        </w:rPr>
        <w:t xml:space="preserve">המשפט השרעי הקלאסי אינו מכיר מרשם זכויות. ההקניה בו נשענת על מעשים גלויים (הצעה, קיבול ותפיסה)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45"/>
      </w:r>
      <w:r>
        <w:rPr>
          <w:rFonts w:ascii="David" w:cs="David" w:eastAsia="David" w:hAnsi="David"/>
          <w:sz w:val="24"/>
          <w:szCs w:val="24"/>
          <w:rtl/>
        </w:rPr>
        <w:t xml:space="preserve"> שלושה מספריה נוגעים במישרין לענייננו: ספר המתנות (סעיפים 833–880), ספר השליחות (סעיפים 1449–1530) וספר מרור הזמן (סעיפים 1660–1675), ומהם נלמדים, בהתאמה, דין ההענקה המשפחתית, דין ייפוי הכוח ודין ההחזקה ארוכת השנים.</w:t>
      </w:r>
    </w:p>
    <w:p>
      <w:pPr>
        <w:bidi/>
        <w:spacing w:after="160" w:line="360"/>
        <w:ind w:firstLine="420"/>
        <w:jc w:val="both"/>
      </w:pPr>
      <w:r>
        <w:rPr>
          <w:rFonts w:ascii="David" w:cs="David" w:eastAsia="David" w:hAnsi="David"/>
          <w:sz w:val="24"/>
          <w:szCs w:val="24"/>
          <w:rtl/>
        </w:rPr>
        <w:t xml:space="preserve">מעמדה המשפטי של המג׳לה בארץ ישראל ראוי לדיוק. היא נחקקה כקודקס אזרחי מחייב של האימפריה העות׳מאנית, המשקף את הפִקְה בנוסחו של האסכולה החַנַפִית, והוסיפה לחול בארץ ישראל תחת המנדט הבריטי ולאחר קום המדינה, בכפוף לחקיקה הישראלית שגברה עליה. חוקי החוזים והקניין הישראליים של שנות השישים והשבעים דחקו את הוראותיה בזו אחר זו, עד שבוטלה סופית בשנת 1984. משמעות הדבר לענייננו כפולה: מחד גיסא, לעסקאות שנעשו לפני חקיקתם של החוקים המחליפים חלים, ככלל, דיני המג׳לה, ולא הדין הישראלי המודרני; ומאידך גיסא, גם לאחר הביטול הפורמלי הוסיפו כמה ממושגיה לפעול בשיטה, אם משום שנקלטו בחקיקה הישראלית, כפי שיודגם להלן בעניין ההרשאה הבלתי הדירה, ואם משום שהוסיפו לעצב את התודעה המשפטית של הציבור.</w:t>
      </w:r>
      <w:r>
        <w:rPr>
          <w:rStyle w:val="FootnoteReference"/>
        </w:rPr>
        <w:footnoteReference w:id="146"/>
      </w:r>
      <w:r>
        <w:rPr>
          <w:rFonts w:ascii="David" w:cs="David" w:eastAsia="David" w:hAnsi="David"/>
          <w:sz w:val="24"/>
          <w:szCs w:val="24"/>
          <w:rtl/>
        </w:rPr>
        <w:t xml:space="preserve"> לימודה של המג׳לה אינו אפוא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jc w:val="both"/>
      </w:pPr>
      <w:r>
        <w:rPr>
          <w:rFonts w:ascii="David" w:cs="David" w:eastAsia="David" w:hAnsi="David"/>
          <w:sz w:val="24"/>
          <w:szCs w:val="24"/>
          <w:rtl/>
        </w:rPr>
        <w:t xml:space="preserve">ספר המתנות של המג׳לה מגלם את הדוקטרינה השרעית: המתנה נכרתת בהצעה ובקיבול, אך היא מושלמת רק בתפיסה. סעיף 837 קובע כי "המתנה נכרתת בהצעה וקיבול, ומושלמת בתפיסה"; סעיף 861, כי המקבל נעשה בעלים של נכס המתנה עם קבלת החזקה; וסעיף 862, כי הנותן רשאי לחזור בו מן המתנה כל עוד לא נמסרה.</w:t>
      </w:r>
      <w:r>
        <w:rPr>
          <w:rStyle w:val="FootnoteReference"/>
        </w:rPr>
        <w:footnoteReference w:id="147"/>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48"/>
      </w:r>
      <w:r>
        <w:rPr>
          <w:rFonts w:ascii="David" w:cs="David" w:eastAsia="David" w:hAnsi="David"/>
          <w:sz w:val="24"/>
          <w:szCs w:val="24"/>
          <w:rtl/>
        </w:rPr>
        <w:t xml:space="preserve"> ושנית, מתנת שכיב מרע ליורש טעונה הסכמת שאר היורשים, מחסום מפני עקיפת מנות הירושה ערב המוות. שני הכללים משקפים היגיון אחד: בתוך המשפחה, יציבות ההענקה שהושלמה גוברת על חופש החזרה, ואילו הענקות החותרות תחת סדרי הירושה טעונות הסכמה רחבה.</w:t>
      </w:r>
      <w:r>
        <w:rPr>
          <w:rStyle w:val="FootnoteReference"/>
        </w:rPr>
        <w:footnoteReference w:id="149"/>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והפער התודעתי הזה הוא המצע העמוק של הסכסוכים הנדונים.</w:t>
      </w:r>
      <w:r>
        <w:rPr>
          <w:rStyle w:val="FootnoteReference"/>
        </w:rPr>
        <w:footnoteReference w:id="150"/>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jc w:val="both"/>
      </w:pPr>
      <w:r>
        <w:rPr>
          <w:rFonts w:ascii="David" w:cs="David" w:eastAsia="David" w:hAnsi="David"/>
          <w:sz w:val="24"/>
          <w:szCs w:val="24"/>
          <w:rtl/>
        </w:rPr>
        <w:t xml:space="preserve">המענה השרעי לשאלת היעדר הרישום גלום במוסד החִיאזָה (החזקה) ובמושג "וַצְ׳ע אל-יַד", "הנחת היד", ההחזקה הגלויה בפועל כמקור לגיטימציה קניינית. שני ביטויים נורמטיביים לכך רלוונטיים במיוחד. הראשון, דיני מרור הזמן שבמג׳לה: תביעה במקרקעי מוּלְכּ שננטשה חמש עשרה שנים "לא תישמע" עוד;</w:t>
      </w:r>
      <w:r>
        <w:rPr>
          <w:rStyle w:val="FootnoteReference"/>
        </w:rPr>
        <w:footnoteReference w:id="151"/>
      </w:r>
      <w:r>
        <w:rPr>
          <w:rFonts w:ascii="David" w:cs="David" w:eastAsia="David" w:hAnsi="David"/>
          <w:sz w:val="24"/>
          <w:szCs w:val="24"/>
          <w:rtl/>
        </w:rPr>
        <w:t xml:space="preserve"> ובצדה הוראת סעיף 1674, שלפיה חלוף הזמן חוסם את שמיעת התביעה אך אינו מפקיע את הזכות עצמה, מקורה ההיסטורי הישיר של תפיסת ההתיישנות הדיונית שאימץ לימים הדין הישראלי.</w:t>
      </w:r>
      <w:r>
        <w:rPr>
          <w:rStyle w:val="FootnoteReference"/>
        </w:rPr>
        <w:footnoteReference w:id="152"/>
      </w:r>
      <w:r>
        <w:rPr>
          <w:rFonts w:ascii="David" w:cs="David" w:eastAsia="David" w:hAnsi="David"/>
          <w:sz w:val="24"/>
          <w:szCs w:val="24"/>
          <w:rtl/>
        </w:rPr>
        <w:t xml:space="preserve"> השני, חוק הקרקעות העות׳מאני: סעיף 78 העניק למי שהחזיק ועיבד קרקע מירי עשר שנים ללא עוררין זכות לקבל שטר טאבו. ההחזקה מבשילה לרישום, ולא להפך.</w:t>
      </w:r>
      <w:r>
        <w:rPr>
          <w:rStyle w:val="FootnoteReference"/>
        </w:rPr>
        <w:footnoteReference w:id="153"/>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והסדר הקנייני הפנימי של המשפחה, הנשען על החזקה גלויה וידועה לכל, מונע מראש את סכסוכי היורשים המאוחרים: אין פער בין "הנייר" ל"חיים", שכן החיים עצמם הם הנייר. ראייה שיפוטית ישראלית עדכנית לכוחה של תפיסה זו מצויה, שלא במודע,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המשקל המכריע שנתן בית המשפט להחזקה גלויה בת עשרות שנים ולשתיקת בני המשפחה הוא, במונחים שרעיים, הכרה בחיאזה, גם אם נומקה במונחי ראיות נסיבתיות.</w:t>
      </w:r>
      <w:r>
        <w:rPr>
          <w:rStyle w:val="FootnoteReference"/>
        </w:rPr>
        <w:footnoteReference w:id="154"/>
      </w:r>
    </w:p>
    <w:p>
      <w:pPr>
        <w:bidi/>
        <w:spacing w:after="160" w:line="360"/>
        <w:ind w:firstLine="420"/>
        <w:jc w:val="both"/>
      </w:pPr>
      <w:r>
        <w:rPr>
          <w:rFonts w:ascii="David" w:cs="David" w:eastAsia="David" w:hAnsi="David"/>
          <w:sz w:val="24"/>
          <w:szCs w:val="24"/>
          <w:rtl/>
        </w:rPr>
        <w:t xml:space="preserve">עם זאת אין להפריז בהאדרת המודל. עליונות ההחזקה עובדת היטב כל עוד הקהילה קטנה, יציבה ובעלת זיכרון משותף: כאשר כל בני הכפר יודעים מי מחזיק במה, ההחזקה אכן ממלאת את תפקיד הפומביות שממלא המרשם. משעה שהקהילה גדלה, מתפצלת ומתנייעת, ומשעה שנכנסים לתמונה רוכשים חיצוניים, בנקים ורשויות, מתגלה חולשתו של המודל: אין דרך לברר את מצב הזכויות בלא לפנות אל הקהילה עצמה, וזו אינה נגישה לזר ואינה מתעדת דבר. יתר על כן, ההסתמכות על החזקה גלויה מיטיבה עם מי שנוכח בשטח ומחזיק בו בפועל, ומקפחת את מי שאינו נוכח, ובראש ובראשונה נשים שעזבו את הכפר עם נישואיהן ויורשים שהיגרו. תפיסה זו, ככל שהיא מרתקת מבחינה השוואתית, איננה אפוא מודל שיש לאמצו כלשונו, אלא תזכורת לכך שמערכת רישום המנותקת מן העובדה החברתית תשלם על כך מחיר.</w:t>
      </w:r>
      <w:r>
        <w:rPr>
          <w:rStyle w:val="FootnoteReference"/>
        </w:rPr>
        <w:footnoteReference w:id="155"/>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jc w:val="both"/>
      </w:pPr>
      <w:r>
        <w:rPr>
          <w:rFonts w:ascii="David" w:cs="David" w:eastAsia="David" w:hAnsi="David"/>
          <w:sz w:val="24"/>
          <w:szCs w:val="24"/>
          <w:rtl/>
        </w:rPr>
        <w:t xml:space="preserve">גם מוסד ייפוי הכוח עצמו שרעי במקורו: ספר השליחות של המג׳לה קובע כי השולח רשאי לסלק את שלוחו, אלא אם נקשרה בשליחות זכותו של אחר, שאז אין הוא רשאי עוד לבטלה.</w:t>
      </w:r>
      <w:r>
        <w:rPr>
          <w:rStyle w:val="FootnoteReference"/>
        </w:rPr>
        <w:footnoteReference w:id="156"/>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סעיפים 1521, 1522 ו-1527 שבה,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57"/>
      </w:r>
      <w:r>
        <w:rPr>
          <w:rFonts w:ascii="David" w:cs="David" w:eastAsia="David" w:hAnsi="David"/>
          <w:sz w:val="24"/>
          <w:szCs w:val="24"/>
          <w:rtl/>
        </w:rPr>
        <w:t xml:space="preserve"> ואילו דיני הירושה השרעיים, הפַרַאאִץ׳, מקצים מנות קבועות ליורשים, ובהם מנה לבנות השווה למחצית מנת הבנים.</w:t>
      </w:r>
      <w:r>
        <w:rPr>
          <w:rStyle w:val="FootnoteReference"/>
        </w:rPr>
        <w:footnoteReference w:id="158"/>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הסתלקות יורש ממנתו כנגד פיצוי מוסכם; וויתור מקובל, ולעיתים כפוי חברתית, של נשים על מנותיהן לטובת אחיהן, כדי לשמר את קרקע המשפחה בקו הגברי.</w:t>
      </w:r>
      <w:r>
        <w:rPr>
          <w:rStyle w:val="FootnoteReference"/>
        </w:rPr>
        <w:footnoteReference w:id="159"/>
      </w:r>
      <w:r>
        <w:rPr>
          <w:rFonts w:ascii="David" w:cs="David" w:eastAsia="David" w:hAnsi="David"/>
          <w:sz w:val="24"/>
          <w:szCs w:val="24"/>
          <w:rtl/>
        </w:rPr>
        <w:t xml:space="preserve"> ובמישור הקרקעי, חוק הקרקעות העות׳מאני, שביקש לרשום כל מחזיק מירי בפנקסי הטאפו,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60"/>
      </w:r>
      <w:r>
        <w:rPr>
          <w:rFonts w:ascii="David" w:cs="David" w:eastAsia="David" w:hAnsi="David"/>
          <w:sz w:val="24"/>
          <w:szCs w:val="24"/>
          <w:rtl/>
        </w:rPr>
        <w:t xml:space="preserve"> צירופם של אלה, ירושה קוגנטית, הסדרים פנימיים, וחשד מורשתי כלפי המרשם, הוא הדנ"א ההיסטורי של תיקי המשפחה הנדונים היום בישראל.</w:t>
      </w:r>
    </w:p>
    <w:p>
      <w:pPr>
        <w:bidi/>
        <w:spacing w:after="160" w:line="360"/>
        <w:ind w:firstLine="420"/>
        <w:jc w:val="both"/>
      </w:pPr>
      <w:r>
        <w:rPr>
          <w:rFonts w:ascii="David" w:cs="David" w:eastAsia="David" w:hAnsi="David"/>
          <w:sz w:val="24"/>
          <w:szCs w:val="24"/>
          <w:rtl/>
        </w:rPr>
        <w:t xml:space="preserve">מכשיר היסטורי נוסף ראוי להזכרה, שכן עקבותיו ניכרים עד היום בפנקסי המקרקעין: הווַקְף הזֻ׳רִי, ההקדש המשפחתי. בשונה מן הווקף הצדקתי, שנועד למטרות ציבוריות, הוקדש הווקף המשפחתי לטובת צאצאיו של המקדיש, כשהנכס עצמו יוצא ממחזור הסחר ואינו ניתן למכירה, לחלוקה או לעיקול, והפירות בלבד מחולקים בין הנהנים. שני יתרונות היו לו בעיני המשפחה: הוא שימר את הקרקע כיחידה אחת חוצת דורות, ומנע את פירורה בין המנות השרעיות; והוא איפשר לעצב את חלוקת הפירות בדרך החורגת ממנות הירושה הקבועות. התוצאה, מבחינת המרשם המודרני, היא חלקות הרשומות על שם הקדש שהוקם לפני מאה שנים ויותר, שנהניו כיום הם צאצאים רבים מספור, ושאיש מהם אינו יכול לרשום על שמו חלק מוגדר.</w:t>
      </w:r>
      <w:r>
        <w:rPr>
          <w:rStyle w:val="FootnoteReference"/>
        </w:rPr>
        <w:footnoteReference w:id="161"/>
      </w:r>
      <w:r>
        <w:rPr>
          <w:rFonts w:ascii="David" w:cs="David" w:eastAsia="David" w:hAnsi="David"/>
          <w:sz w:val="24"/>
          <w:szCs w:val="24"/>
          <w:rtl/>
        </w:rPr>
        <w:t xml:space="preserve"> הצטברותם של אלה, המנות השרעיות הקבועות, ההסתלקויות והוויתורים הפנימיים, והנכסים הכבולים בהקדש, מסבירה מדוע רבים כל כך מן הסכסוכים הנדונים בעבודה זו נסבים לא על שאלת "של מי הקרקע" אלא על שאלת "מה בדיוק סוכם בין הדורות", ומדוע ההכרעה בהם מחייבת שחזור היסטורי ולא עיון בפנקס.</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jc w:val="both"/>
      </w:pPr>
      <w:r>
        <w:rPr>
          <w:rFonts w:ascii="David" w:cs="David" w:eastAsia="David" w:hAnsi="David"/>
          <w:b/>
          <w:bCs/>
          <w:sz w:val="24"/>
          <w:szCs w:val="24"/>
          <w:rtl/>
        </w:rPr>
        <w:t xml:space="preserve">הציר הראשון: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בעלות שביושר מלאה, העשויה אף לגבור על רוכש רשום מכוח תפיסה ממשית; בישראל, זכות שביושר "תוצרת הארץ", הגוברת על נושים אך נסוגה מפני רוכש רשום תם לב; במצרים,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 (נאמנות משתמעת והשתק קנייני, הנתפרים למידותיו של כל מקרה);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עצמם (מרשם יקר, איטי וכרוך במס)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ההעברה הפנים משפחתית וההחזקה רבת 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איזון המגן על יציבות ההענקות בתוך המשפחה, ומעניקה להחזקה ארוכת השנים מעמד מכריע. מצרים מתרגמת את אותו רעיון ללשון חקיקתית מודרנית: חמש עשרה שנות חזקה,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 בכתב על חזרה ממתנה הגלום בייפוי הכוח, אך בלא כל מסלול שבו החזקה כשלעצמה מבשילה לזכות. השילוב הישראלי עובד, אך במחיר אי 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וקצרה אי 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על כל מחיריו הראייתיים, הכלכליים והחברתיים. ארבעת הצירים יחדיו מספקים את המסד לפרק הדיון: הם מלמדים מה ניתן לשאול מכל שיטה, ומה מחירה של כל שאילה.</w:t>
      </w:r>
      <w:r>
        <w:rPr>
          <w:rStyle w:val="FootnoteReference"/>
        </w:rPr>
        <w:footnoteReference w:id="162"/>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(הזכות שביושר, ייפוי הכוח הבלתי חוזר, זעקת ההגינות והרישיון)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והמעגל שב ומתחיל. חשוב להבחין: אין מדובר בכשל של אכיפה או ביישום רשלני של דין טוב, אלא בכשל תכנוני של הדין עצמו, שהניח מציאות חברתית אחת והוחל על אחרת.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מהכרה בזכותה שביושר של רוכשת שהחזיקה בדירתה חמישים שנה בלא רישום,</w:t>
      </w:r>
      <w:r>
        <w:rPr>
          <w:rStyle w:val="FootnoteReference"/>
        </w:rPr>
        <w:footnoteReference w:id="163"/>
      </w:r>
      <w:r>
        <w:rPr>
          <w:rFonts w:ascii="David" w:cs="David" w:eastAsia="David" w:hAnsi="David"/>
          <w:sz w:val="24"/>
          <w:szCs w:val="24"/>
          <w:rtl/>
        </w:rPr>
        <w:t xml:space="preserve"> דרך אכיפת עסקה משנת 1968 שמסמכיה אבדו,</w:t>
      </w:r>
      <w:r>
        <w:rPr>
          <w:rStyle w:val="FootnoteReference"/>
        </w:rPr>
        <w:footnoteReference w:id="164"/>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65"/>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"זעקת ההגינות" מותנית ב"מקרים מיוחדים" שאין להם הגדרה, אי הדירותו של רישיון תלויה בשקילה בדיעבד של השקעה וציפייה, וסיווגו של ייפוי כוח כמסמך עסקה תלוי בניסוחו של נוטריון משנות השבעים; ומשטר הנשען כולו על הערכה שיפוטית בדיעבד של הגינות והסתמכות מייצר תוצאות בלתי צפויות, המשתנות מתיק לתיק ומשופט לשופט. שנית, אי 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והתדיינות פנים משפחתית, להבדיל ממסחרית, מותירה אחריה קרעים שאינם מתאחים בקהילות שבהן הצדדים ימשיכו לחיות זה לצד זה. ושלישית, וזה החיבור שבין פרק ג לפרק ה, שאין להבינו אלא במשולב: הכלים כולם פועלים במישור הבין 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הסכסוך שהבשיל,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(הבטחה, הסתמכות, שינוי מצב לרעה ואי מצפוניות שבהתכחשות) שסעדיה נדונים אף הם במסגרת שהתווה בית המשפט העליון הבריטי בפסיקה עקבית.</w:t>
      </w:r>
      <w:r>
        <w:rPr>
          <w:rStyle w:val="FootnoteReference"/>
        </w:rPr>
        <w:footnoteReference w:id="166"/>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אך בלא המסגרת, ולכן בלא היכולת לבקר את הפעלתה ביקורת ערעורית אפקטיבית ובלא שהציבור יכול לכלכל צעדיו על פיה; והעובדה שהדוקטרינה הישראלית עצמה, בדונה ברישיון בלתי הדיר הגובר על צד שלישי, כבר קוראת לעצמה "השתק קנייני" בשמו האנגלי, מלמדת שהמסגור המוצע אינו שאילה זרה אלא הודאה במקור קיים. מן הדין המצרי עולה הלקח ההפוך, והוא נוקב לא פחות: מקום שהמחוקק אינו מתקן את החסם המבני, שום תחכום של תחליפים, תַוְכּיל, תביעות אימות, ואפילו התיישנות רוכשת סטטוטורית, אינו בולם את קריסת המרשם, ותשעים אחוזי אי 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התפיסה, ולא על פנקס; ובחברה שבה ההחזקה הגלויה, הידועה לכל בני החמולה, היא עדיין מוסד חברתי חי, יש בתובנה זו כדי להצדיק, לא אימוץ הדוקטרינה כלשונה, אלא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והם חייבים לפעול בשלושת המישורים בעת ובעונה אחת, שכן המעגל שתואר לעיל אינו ניתן לשבירה בנקודה אחת בלבד.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שהרי העסקאות אינן מדווחות; ואילו התועלת, הכנסת דור שלם של נכסים למרשם ולבסיס המס העתידי, ניכרת.</w:t>
      </w:r>
      <w:r>
        <w:rPr>
          <w:rStyle w:val="FootnoteReference"/>
        </w:rPr>
        <w:footnoteReference w:id="167"/>
      </w:r>
      <w:r>
        <w:rPr>
          <w:rFonts w:ascii="David" w:cs="David" w:eastAsia="David" w:hAnsi="David"/>
          <w:sz w:val="24"/>
          <w:szCs w:val="24"/>
          <w:rtl/>
        </w:rPr>
        <w:t xml:space="preserve"> במישור המוסדי, יש להשלים את הליכי הסדר הזכויות ביישובים הערביים שבהם לא הושלמו, הפעם בשיתוף הקהילות ובהכרה מפורשת בראיות ההחזקה והתיעוד המסורתיות, שההתעלמות מהן היא שהרחיקה את הציבור מן ההליכים מלכתחילה;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68"/>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 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הזירה המרכזית של סכסוכים אלה,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ובכללם דרישת הסיוע בתביעה נגד עיזבון,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(התניית הרישום במס)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והוא עצמו 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 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w:t>
      </w:r>
      <w:r>
        <w:rPr>
          <w:rFonts w:ascii="David" w:cs="David" w:eastAsia="David" w:hAnsi="David"/>
          <w:i/>
          <w:iCs/>
          <w:sz w:val="24"/>
          <w:szCs w:val="24"/>
          <w:rtl/>
        </w:rPr>
        <w:t xml:space="preserve">מיסים</w:t>
      </w:r>
      <w:r>
        <w:rPr>
          <w:rFonts w:ascii="David" w:cs="David" w:eastAsia="David" w:hAnsi="David"/>
          <w:sz w:val="24"/>
          <w:szCs w:val="24"/>
          <w:rtl/>
        </w:rPr>
        <w:t xml:space="preserve">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17.9.2020) (החלטה).</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w:t>
      </w:r>
      <w:r>
        <w:rPr>
          <w:rFonts w:ascii="David" w:cs="David" w:eastAsia="David" w:hAnsi="David"/>
          <w:i/>
          <w:iCs/>
          <w:sz w:val="24"/>
          <w:szCs w:val="24"/>
          <w:rtl/>
        </w:rPr>
        <w:t xml:space="preserve">משפטים</w:t>
      </w:r>
      <w:r>
        <w:rPr>
          <w:rFonts w:ascii="David" w:cs="David" w:eastAsia="David" w:hAnsi="David"/>
          <w:sz w:val="24"/>
          <w:szCs w:val="24"/>
          <w:rtl/>
        </w:rPr>
        <w:t xml:space="preserve"> יד 572 (התשמ"ה).</w:t>
      </w:r>
    </w:p>
    <w:p>
      <w:pPr>
        <w:bidi/>
        <w:spacing w:after="120" w:line="300"/>
        <w:ind w:start="420" w:hanging="420"/>
        <w:jc w:val="both"/>
      </w:pPr>
      <w:r>
        <w:rPr>
          <w:rFonts w:ascii="David" w:cs="David" w:eastAsia="David" w:hAnsi="David"/>
          <w:sz w:val="24"/>
          <w:szCs w:val="24"/>
          <w:rtl/>
        </w:rPr>
        <w:t xml:space="preserve">נינה זלצמן "רישיון במקרקעין" </w:t>
      </w:r>
      <w:r>
        <w:rPr>
          <w:rFonts w:ascii="David" w:cs="David" w:eastAsia="David" w:hAnsi="David"/>
          <w:i/>
          <w:iCs/>
          <w:sz w:val="24"/>
          <w:szCs w:val="24"/>
          <w:rtl/>
        </w:rPr>
        <w:t xml:space="preserve">הפרקליט</w:t>
      </w:r>
      <w:r>
        <w:rPr>
          <w:rFonts w:ascii="David" w:cs="David" w:eastAsia="David" w:hAnsi="David"/>
          <w:sz w:val="24"/>
          <w:szCs w:val="24"/>
          <w:rtl/>
        </w:rPr>
        <w:t xml:space="preserve"> מב 24 (התשנ"ה).</w:t>
      </w:r>
    </w:p>
    <w:p>
      <w:pPr>
        <w:bidi/>
        <w:spacing w:after="120" w:line="300"/>
        <w:ind w:start="420" w:hanging="420"/>
        <w:jc w:val="both"/>
      </w:pPr>
      <w:r>
        <w:rPr>
          <w:rFonts w:ascii="David" w:cs="David" w:eastAsia="David" w:hAnsi="David"/>
          <w:sz w:val="24"/>
          <w:szCs w:val="24"/>
          <w:rtl/>
        </w:rPr>
        <w:t xml:space="preserve">"חוזים על פי דיני התורה" </w:t>
      </w:r>
      <w:r>
        <w:rPr>
          <w:rFonts w:ascii="David" w:cs="David" w:eastAsia="David" w:hAnsi="David"/>
          <w:i/>
          <w:iCs/>
          <w:sz w:val="24"/>
          <w:szCs w:val="24"/>
          <w:rtl/>
        </w:rPr>
        <w:t xml:space="preserve">כתר</w:t>
      </w:r>
      <w:r>
        <w:rPr>
          <w:rFonts w:ascii="David" w:cs="David" w:eastAsia="David" w:hAnsi="David"/>
          <w:sz w:val="24"/>
          <w:szCs w:val="24"/>
          <w:rtl/>
        </w:rPr>
        <w:t xml:space="preserve"> א 71 (התשנ"ו).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(התש"ס).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w:t>
      </w:r>
      <w:r>
        <w:rPr>
          <w:rFonts w:ascii="David" w:cs="David" w:eastAsia="David" w:hAnsi="David"/>
          <w:i/>
          <w:iCs/>
          <w:sz w:val="24"/>
          <w:szCs w:val="24"/>
          <w:rtl/>
        </w:rPr>
        <w:t xml:space="preserve">משפטים על אתר</w:t>
      </w:r>
      <w:r>
        <w:rPr>
          <w:rFonts w:ascii="David" w:cs="David" w:eastAsia="David" w:hAnsi="David"/>
          <w:sz w:val="24"/>
          <w:szCs w:val="24"/>
          <w:rtl/>
        </w:rPr>
        <w:t xml:space="preserve"> יג 79 (התש"ף).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w:t>
      </w:r>
      <w:r>
        <w:rPr>
          <w:rFonts w:ascii="David" w:cs="David" w:eastAsia="David" w:hAnsi="David"/>
          <w:i/>
          <w:iCs/>
          <w:sz w:val="24"/>
          <w:szCs w:val="24"/>
          <w:rtl/>
        </w:rPr>
        <w:t xml:space="preserve">משפטים</w:t>
      </w:r>
      <w:r>
        <w:rPr>
          <w:rFonts w:ascii="David" w:cs="David" w:eastAsia="David" w:hAnsi="David"/>
          <w:sz w:val="24"/>
          <w:szCs w:val="24"/>
          <w:rtl/>
        </w:rPr>
        <w:t xml:space="preserve"> יט 205 (התשמ"ט).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w:t>
      </w:r>
      <w:r>
        <w:rPr>
          <w:rFonts w:ascii="David" w:cs="David" w:eastAsia="David" w:hAnsi="David"/>
          <w:i/>
          <w:iCs/>
          <w:sz w:val="24"/>
          <w:szCs w:val="24"/>
          <w:rtl/>
        </w:rPr>
        <w:t xml:space="preserve">משפט וממשל</w:t>
      </w:r>
      <w:r>
        <w:rPr>
          <w:rFonts w:ascii="David" w:cs="David" w:eastAsia="David" w:hAnsi="David"/>
          <w:sz w:val="24"/>
          <w:szCs w:val="24"/>
          <w:rtl/>
        </w:rPr>
        <w:t xml:space="preserve"> יד 7 (2012).</w:t>
      </w:r>
    </w:p>
    <w:p>
      <w:pPr>
        <w:bidi/>
        <w:spacing w:after="120" w:line="300"/>
        <w:ind w:start="420" w:hanging="420"/>
        <w:jc w:val="both"/>
      </w:pPr>
      <w:r>
        <w:rPr>
          <w:rFonts w:ascii="David" w:cs="David" w:eastAsia="David" w:hAnsi="David"/>
          <w:sz w:val="24"/>
          <w:szCs w:val="24"/>
          <w:rtl/>
        </w:rPr>
        <w:t xml:space="preserve">נילי כהן "צורת החוזה" </w:t>
      </w:r>
      <w:r>
        <w:rPr>
          <w:rFonts w:ascii="David" w:cs="David" w:eastAsia="David" w:hAnsi="David"/>
          <w:i/>
          <w:iCs/>
          <w:sz w:val="24"/>
          <w:szCs w:val="24"/>
          <w:rtl/>
        </w:rPr>
        <w:t xml:space="preserve">הפרקליט</w:t>
      </w:r>
      <w:r>
        <w:rPr>
          <w:rFonts w:ascii="David" w:cs="David" w:eastAsia="David" w:hAnsi="David"/>
          <w:sz w:val="24"/>
          <w:szCs w:val="24"/>
          <w:rtl/>
        </w:rPr>
        <w:t xml:space="preserve"> לח 383 (התשמ"ט).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i/>
          <w:iCs/>
          <w:sz w:val="24"/>
          <w:szCs w:val="24"/>
          <w:rtl/>
        </w:rPr>
        <w:t xml:space="preserve">עיוני משפט</w:t>
      </w:r>
      <w:r>
        <w:rPr>
          <w:rFonts w:ascii="David" w:cs="David" w:eastAsia="David" w:hAnsi="David"/>
          <w:sz w:val="24"/>
          <w:szCs w:val="24"/>
          <w:rtl/>
        </w:rPr>
        <w:t xml:space="preserve">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(התשס"ח).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w:t>
      </w:r>
      <w:r>
        <w:rPr>
          <w:rFonts w:ascii="David" w:cs="David" w:eastAsia="David" w:hAnsi="David"/>
          <w:i/>
          <w:iCs/>
          <w:sz w:val="24"/>
          <w:szCs w:val="24"/>
          <w:rtl/>
        </w:rPr>
        <w:t xml:space="preserve">עיוני משפט</w:t>
      </w:r>
      <w:r>
        <w:rPr>
          <w:rFonts w:ascii="David" w:cs="David" w:eastAsia="David" w:hAnsi="David"/>
          <w:sz w:val="24"/>
          <w:szCs w:val="24"/>
          <w:rtl/>
        </w:rPr>
        <w:t xml:space="preserve"> י 297 (1984).</w:t>
      </w:r>
    </w:p>
    <w:p>
      <w:pPr>
        <w:bidi/>
        <w:spacing w:after="120" w:line="300"/>
        <w:ind w:start="420" w:hanging="420"/>
        <w:jc w:val="both"/>
      </w:pPr>
      <w:r>
        <w:rPr>
          <w:rFonts w:ascii="David" w:cs="David" w:eastAsia="David" w:hAnsi="David"/>
          <w:sz w:val="24"/>
          <w:szCs w:val="24"/>
          <w:rtl/>
        </w:rPr>
        <w:t xml:space="preserve">שי שטרן </w:t>
      </w:r>
      <w:r>
        <w:rPr>
          <w:rFonts w:ascii="David" w:cs="David" w:eastAsia="David" w:hAnsi="David"/>
          <w:i/>
          <w:iCs/>
          <w:sz w:val="24"/>
          <w:szCs w:val="24"/>
          <w:rtl/>
        </w:rPr>
        <w:t xml:space="preserve">קהילות במשפט</w:t>
      </w:r>
      <w:r>
        <w:rPr>
          <w:rFonts w:ascii="David" w:cs="David" w:eastAsia="David" w:hAnsi="David"/>
          <w:sz w:val="24"/>
          <w:szCs w:val="24"/>
          <w:rtl/>
        </w:rPr>
        <w:t xml:space="preserve"> (2026).</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c. 9 (UK).</w:t>
      </w:r>
    </w:p>
    <w:p>
      <w:pPr>
        <w:spacing w:after="120" w:line="300"/>
        <w:ind w:start="420" w:hanging="420"/>
        <w:jc w:val="left"/>
      </w:pPr>
      <w:r>
        <w:rPr>
          <w:rFonts w:ascii="Times New Roman" w:cs="Times New Roman" w:eastAsia="Times New Roman" w:hAnsi="Times New Roman"/>
          <w:sz w:val="24"/>
          <w:szCs w:val="24"/>
        </w:rPr>
        <w:t xml:space="preserve">Land Registration Act 1925, c. 21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sz w:val="24"/>
          <w:szCs w:val="24"/>
        </w:rPr>
        <w:t xml:space="preserve">Powers of Attorney Act 1971, c. 27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w:t>
      </w:r>
      <w:r>
        <w:rPr>
          <w:rFonts w:ascii="Times New Roman" w:cs="Times New Roman" w:eastAsia="Times New Roman" w:hAnsi="Times New Roman"/>
          <w:i/>
          <w:iCs/>
          <w:sz w:val="24"/>
          <w:szCs w:val="24"/>
        </w:rPr>
        <w:t xml:space="preserve">Dispossession by Law: How the Israeli Judicial System Utilizes Ottoman Land Law to Expel and Dispossess the Bedouins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Journal of Levantine Studies</w:t>
      </w:r>
      <w:r>
        <w:rPr>
          <w:rFonts w:ascii="Times New Roman" w:cs="Times New Roman" w:eastAsia="Times New Roman" w:hAnsi="Times New Roman"/>
          <w:sz w:val="24"/>
          <w:szCs w:val="24"/>
        </w:rPr>
        <w:t xml:space="preserve"> (2015).</w:t>
      </w:r>
    </w:p>
    <w:p>
      <w:pPr>
        <w:spacing w:after="120" w:line="300"/>
        <w:ind w:start="420" w:hanging="420"/>
        <w:jc w:val="left"/>
      </w:pPr>
      <w:r>
        <w:rPr>
          <w:rFonts w:ascii="Times New Roman" w:cs="Times New Roman" w:eastAsia="Times New Roman" w:hAnsi="Times New Roman"/>
          <w:sz w:val="24"/>
          <w:szCs w:val="24"/>
        </w:rPr>
        <w:t xml:space="preserve">Chris Bevan, </w:t>
      </w:r>
      <w:r>
        <w:rPr>
          <w:rFonts w:ascii="Times New Roman" w:cs="Times New Roman" w:eastAsia="Times New Roman" w:hAnsi="Times New Roman"/>
          <w:i/>
          <w:iCs/>
          <w:sz w:val="24"/>
          <w:szCs w:val="24"/>
        </w:rPr>
        <w:t xml:space="preserve">Overriding Interests under the Land Registration Act 2002: Time to Repair the ‘Cracked Mirror’?</w:t>
      </w:r>
      <w:r>
        <w:rPr>
          <w:rFonts w:ascii="Times New Roman" w:cs="Times New Roman" w:eastAsia="Times New Roman" w:hAnsi="Times New Roman"/>
          <w:sz w:val="24"/>
          <w:szCs w:val="24"/>
        </w:rPr>
        <w:t xml:space="preserve"> [2024] </w:t>
      </w:r>
      <w:r>
        <w:rPr>
          <w:rFonts w:ascii="Times New Roman" w:cs="Times New Roman" w:eastAsia="Times New Roman" w:hAnsi="Times New Roman"/>
          <w:smallCaps/>
          <w:sz w:val="24"/>
          <w:szCs w:val="24"/>
        </w:rPr>
        <w:t xml:space="preserve">Conveyancer &amp; Property Lawyer</w:t>
      </w:r>
      <w:r>
        <w:rPr>
          <w:rFonts w:ascii="Times New Roman" w:cs="Times New Roman" w:eastAsia="Times New Roman" w:hAnsi="Times New Roman"/>
          <w:sz w:val="24"/>
          <w:szCs w:val="24"/>
        </w:rPr>
        <w:t xml:space="preserve"> 123.</w:t>
      </w:r>
    </w:p>
    <w:p>
      <w:pPr>
        <w:spacing w:after="120" w:line="300"/>
        <w:ind w:start="420" w:hanging="420"/>
        <w:jc w:val="left"/>
      </w:pPr>
      <w:r>
        <w:rPr>
          <w:rFonts w:ascii="Times New Roman" w:cs="Times New Roman" w:eastAsia="Times New Roman" w:hAnsi="Times New Roman"/>
          <w:smallCaps/>
          <w:sz w:val="24"/>
          <w:szCs w:val="24"/>
        </w:rPr>
        <w:t xml:space="preserve">N.J. Coulson, Succession in the Muslim Family</w:t>
      </w:r>
      <w:r>
        <w:rPr>
          <w:rFonts w:ascii="Times New Roman" w:cs="Times New Roman" w:eastAsia="Times New Roman" w:hAnsi="Times New Roman"/>
          <w:sz w:val="24"/>
          <w:szCs w:val="24"/>
        </w:rPr>
        <w:t xml:space="preserve"> (1971).</w:t>
      </w:r>
    </w:p>
    <w:p>
      <w:pPr>
        <w:spacing w:after="120" w:line="300"/>
        <w:ind w:start="420" w:hanging="420"/>
        <w:jc w:val="left"/>
      </w:pPr>
      <w:r>
        <w:rPr>
          <w:rFonts w:ascii="Times New Roman" w:cs="Times New Roman" w:eastAsia="Times New Roman" w:hAnsi="Times New Roman"/>
          <w:smallCaps/>
          <w:sz w:val="24"/>
          <w:szCs w:val="24"/>
        </w:rPr>
        <w:t xml:space="preserve">Hernando de Soto, The Mystery of Capital: Why Capitalism Triumphs in the West and Fails Everywhere Else</w:t>
      </w:r>
      <w:r>
        <w:rPr>
          <w:rFonts w:ascii="Times New Roman" w:cs="Times New Roman" w:eastAsia="Times New Roman" w:hAnsi="Times New Roman"/>
          <w:sz w:val="24"/>
          <w:szCs w:val="24"/>
        </w:rPr>
        <w:t xml:space="preserv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w:t>
      </w:r>
      <w:r>
        <w:rPr>
          <w:rFonts w:ascii="Times New Roman" w:cs="Times New Roman" w:eastAsia="Times New Roman" w:hAnsi="Times New Roman"/>
          <w:i/>
          <w:iCs/>
          <w:sz w:val="24"/>
          <w:szCs w:val="24"/>
        </w:rPr>
        <w:t xml:space="preserve">Land Titling: A Tool, not a Panacea — Insights from Egypt</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w:t>
      </w:r>
      <w:r>
        <w:rPr>
          <w:rFonts w:ascii="Times New Roman" w:cs="Times New Roman" w:eastAsia="Times New Roman" w:hAnsi="Times New Roman"/>
          <w:i/>
          <w:iCs/>
          <w:sz w:val="24"/>
          <w:szCs w:val="24"/>
        </w:rPr>
        <w:t xml:space="preserve">Consequences of the Ottoman Land Law: Agrarian and Privatization Processes in Palestine, 1858–1918</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Societies, Social Inequalities and Marginalization</w:t>
      </w:r>
      <w:r>
        <w:rPr>
          <w:rFonts w:ascii="Times New Roman" w:cs="Times New Roman" w:eastAsia="Times New Roman" w:hAnsi="Times New Roman"/>
          <w:sz w:val="24"/>
          <w:szCs w:val="24"/>
        </w:rPr>
        <w:t xml:space="preserve">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w:t>
      </w:r>
      <w:r>
        <w:rPr>
          <w:rFonts w:ascii="Times New Roman" w:cs="Times New Roman" w:eastAsia="Times New Roman" w:hAnsi="Times New Roman"/>
          <w:i/>
          <w:iCs/>
          <w:sz w:val="24"/>
          <w:szCs w:val="24"/>
        </w:rPr>
        <w:t xml:space="preserve">Land Market Segmentation Along Ethnic Lines: Four Urban Localities in Israel as a Case Study</w:t>
      </w:r>
      <w:r>
        <w:rPr>
          <w:rFonts w:ascii="Times New Roman" w:cs="Times New Roman" w:eastAsia="Times New Roman" w:hAnsi="Times New Roman"/>
          <w:sz w:val="24"/>
          <w:szCs w:val="24"/>
        </w:rPr>
        <w:t xml:space="preserve">, 136 </w:t>
      </w:r>
      <w:r>
        <w:rPr>
          <w:rFonts w:ascii="Times New Roman" w:cs="Times New Roman" w:eastAsia="Times New Roman" w:hAnsi="Times New Roman"/>
          <w:smallCaps/>
          <w:sz w:val="24"/>
          <w:szCs w:val="24"/>
        </w:rPr>
        <w:t xml:space="preserve">Land Use Policy</w:t>
      </w:r>
      <w:r>
        <w:rPr>
          <w:rFonts w:ascii="Times New Roman" w:cs="Times New Roman" w:eastAsia="Times New Roman" w:hAnsi="Times New Roman"/>
          <w:sz w:val="24"/>
          <w:szCs w:val="24"/>
        </w:rPr>
        <w:t xml:space="preserve"> art. 106916 (2024).</w:t>
      </w:r>
    </w:p>
    <w:p>
      <w:pPr>
        <w:spacing w:after="120" w:line="300"/>
        <w:ind w:start="420" w:hanging="420"/>
        <w:jc w:val="left"/>
      </w:pPr>
      <w:r>
        <w:rPr>
          <w:rFonts w:ascii="Times New Roman" w:cs="Times New Roman" w:eastAsia="Times New Roman" w:hAnsi="Times New Roman"/>
          <w:sz w:val="24"/>
          <w:szCs w:val="24"/>
        </w:rPr>
        <w:t xml:space="preserve">L. Landau, </w:t>
      </w:r>
      <w:r>
        <w:rPr>
          <w:rFonts w:ascii="Times New Roman" w:cs="Times New Roman" w:eastAsia="Times New Roman" w:hAnsi="Times New Roman"/>
          <w:i/>
          <w:iCs/>
          <w:sz w:val="24"/>
          <w:szCs w:val="24"/>
        </w:rPr>
        <w:t xml:space="preserve">The Gift Law, 1968</w:t>
      </w:r>
      <w:r>
        <w:rPr>
          <w:rFonts w:ascii="Times New Roman" w:cs="Times New Roman" w:eastAsia="Times New Roman" w:hAnsi="Times New Roman"/>
          <w:sz w:val="24"/>
          <w:szCs w:val="24"/>
        </w:rPr>
        <w:t xml:space="preserve">, 4 </w:t>
      </w:r>
      <w:r>
        <w:rPr>
          <w:rFonts w:ascii="Times New Roman" w:cs="Times New Roman" w:eastAsia="Times New Roman" w:hAnsi="Times New Roman"/>
          <w:smallCaps/>
          <w:sz w:val="24"/>
          <w:szCs w:val="24"/>
        </w:rPr>
        <w:t xml:space="preserve">Israel Law Review</w:t>
      </w:r>
      <w:r>
        <w:rPr>
          <w:rFonts w:ascii="Times New Roman" w:cs="Times New Roman" w:eastAsia="Times New Roman" w:hAnsi="Times New Roman"/>
          <w:sz w:val="24"/>
          <w:szCs w:val="24"/>
        </w:rPr>
        <w:t xml:space="preserve"> 260 (1969).</w:t>
      </w:r>
    </w:p>
    <w:p>
      <w:pPr>
        <w:spacing w:after="120" w:line="300"/>
        <w:ind w:start="420" w:hanging="420"/>
        <w:jc w:val="left"/>
      </w:pPr>
      <w:r>
        <w:rPr>
          <w:rFonts w:ascii="Times New Roman" w:cs="Times New Roman" w:eastAsia="Times New Roman" w:hAnsi="Times New Roman"/>
          <w:smallCaps/>
          <w:sz w:val="24"/>
          <w:szCs w:val="24"/>
        </w:rPr>
        <w:t xml:space="preserve">Aharon Layish, Women and Islamic Law in a Non-Muslim State: A Study Based on Decisions of the Shari‘a Courts in Israel</w:t>
      </w:r>
      <w:r>
        <w:rPr>
          <w:rFonts w:ascii="Times New Roman" w:cs="Times New Roman" w:eastAsia="Times New Roman" w:hAnsi="Times New Roman"/>
          <w:sz w:val="24"/>
          <w:szCs w:val="24"/>
        </w:rPr>
        <w:t xml:space="preserve"> (1975).</w:t>
      </w:r>
    </w:p>
    <w:p>
      <w:pPr>
        <w:spacing w:after="120" w:line="300"/>
        <w:ind w:start="420" w:hanging="420"/>
        <w:jc w:val="left"/>
      </w:pPr>
      <w:r>
        <w:rPr>
          <w:rFonts w:ascii="Times New Roman" w:cs="Times New Roman" w:eastAsia="Times New Roman" w:hAnsi="Times New Roman"/>
          <w:sz w:val="24"/>
          <w:szCs w:val="24"/>
        </w:rPr>
        <w:t xml:space="preserve">Y. Linant de Bellefonds, </w:t>
      </w:r>
      <w:r>
        <w:rPr>
          <w:rFonts w:ascii="Times New Roman" w:cs="Times New Roman" w:eastAsia="Times New Roman" w:hAnsi="Times New Roman"/>
          <w:i/>
          <w:iCs/>
          <w:sz w:val="24"/>
          <w:szCs w:val="24"/>
        </w:rPr>
        <w:t xml:space="preserve">Hiba</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The Encyclopaedia of Islam</w:t>
      </w:r>
      <w:r>
        <w:rPr>
          <w:rFonts w:ascii="Times New Roman" w:cs="Times New Roman" w:eastAsia="Times New Roman" w:hAnsi="Times New Roman"/>
          <w:sz w:val="24"/>
          <w:szCs w:val="24"/>
        </w:rPr>
        <w:t xml:space="preserve"> (2d ed.).</w:t>
      </w:r>
    </w:p>
    <w:p>
      <w:pPr>
        <w:spacing w:after="120" w:line="300"/>
        <w:ind w:start="420" w:hanging="420"/>
        <w:jc w:val="left"/>
      </w:pPr>
      <w:r>
        <w:rPr>
          <w:rFonts w:ascii="Times New Roman" w:cs="Times New Roman" w:eastAsia="Times New Roman" w:hAnsi="Times New Roman"/>
          <w:smallCaps/>
          <w:sz w:val="24"/>
          <w:szCs w:val="24"/>
        </w:rPr>
        <w:t xml:space="preserve">Annelies Moors, Women, Property and Islam: Palestinian Experiences, 1920–1990</w:t>
      </w:r>
      <w:r>
        <w:rPr>
          <w:rFonts w:ascii="Times New Roman" w:cs="Times New Roman" w:eastAsia="Times New Roman" w:hAnsi="Times New Roman"/>
          <w:sz w:val="24"/>
          <w:szCs w:val="24"/>
        </w:rPr>
        <w:t xml:space="preserve"> (1995).</w:t>
      </w:r>
    </w:p>
    <w:p>
      <w:pPr>
        <w:spacing w:after="120" w:line="300"/>
        <w:ind w:start="420" w:hanging="420"/>
        <w:jc w:val="left"/>
      </w:pPr>
      <w:r>
        <w:rPr>
          <w:rFonts w:ascii="Times New Roman" w:cs="Times New Roman" w:eastAsia="Times New Roman" w:hAnsi="Times New Roman"/>
          <w:sz w:val="24"/>
          <w:szCs w:val="24"/>
        </w:rPr>
        <w:t xml:space="preserve">Amos Nadan, </w:t>
      </w:r>
      <w:r>
        <w:rPr>
          <w:rFonts w:ascii="Times New Roman" w:cs="Times New Roman" w:eastAsia="Times New Roman" w:hAnsi="Times New Roman"/>
          <w:i/>
          <w:iCs/>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sz w:val="24"/>
          <w:szCs w:val="24"/>
        </w:rPr>
        <w:t xml:space="preserve">, 46 </w:t>
      </w:r>
      <w:r>
        <w:rPr>
          <w:rFonts w:ascii="Times New Roman" w:cs="Times New Roman" w:eastAsia="Times New Roman" w:hAnsi="Times New Roman"/>
          <w:smallCaps/>
          <w:sz w:val="24"/>
          <w:szCs w:val="24"/>
        </w:rPr>
        <w:t xml:space="preserve">Journal of the Economic and Social History of the Orient</w:t>
      </w:r>
      <w:r>
        <w:rPr>
          <w:rFonts w:ascii="Times New Roman" w:cs="Times New Roman" w:eastAsia="Times New Roman" w:hAnsi="Times New Roman"/>
          <w:sz w:val="24"/>
          <w:szCs w:val="24"/>
        </w:rPr>
        <w:t xml:space="preserve">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w:t>
      </w:r>
      <w:r>
        <w:rPr>
          <w:rFonts w:ascii="Times New Roman" w:cs="Times New Roman" w:eastAsia="Times New Roman" w:hAnsi="Times New Roman"/>
          <w:i/>
          <w:iCs/>
          <w:sz w:val="24"/>
          <w:szCs w:val="24"/>
        </w:rPr>
        <w:t xml:space="preserve">Ownership Status of Hibah Marad al-Mawt: A Study on the Views of Classical and Contemporary Scholars</w:t>
      </w:r>
      <w:r>
        <w:rPr>
          <w:rFonts w:ascii="Times New Roman" w:cs="Times New Roman" w:eastAsia="Times New Roman" w:hAnsi="Times New Roman"/>
          <w:sz w:val="24"/>
          <w:szCs w:val="24"/>
        </w:rPr>
        <w:t xml:space="preserve">, 34(8) </w:t>
      </w:r>
      <w:r>
        <w:rPr>
          <w:rFonts w:ascii="Times New Roman" w:cs="Times New Roman" w:eastAsia="Times New Roman" w:hAnsi="Times New Roman"/>
          <w:smallCaps/>
          <w:sz w:val="24"/>
          <w:szCs w:val="24"/>
        </w:rPr>
        <w:t xml:space="preserve">al-Qanatir: International Journal of Islamic Studies</w:t>
      </w:r>
      <w:r>
        <w:rPr>
          <w:rFonts w:ascii="Times New Roman" w:cs="Times New Roman" w:eastAsia="Times New Roman" w:hAnsi="Times New Roman"/>
          <w:sz w:val="24"/>
          <w:szCs w:val="24"/>
        </w:rPr>
        <w:t xml:space="preserve"> (2025).</w:t>
      </w:r>
    </w:p>
    <w:p>
      <w:pPr>
        <w:spacing w:after="120" w:line="300"/>
        <w:ind w:start="420" w:hanging="420"/>
        <w:jc w:val="left"/>
      </w:pPr>
      <w:r>
        <w:rPr>
          <w:rFonts w:ascii="Times New Roman" w:cs="Times New Roman" w:eastAsia="Times New Roman" w:hAnsi="Times New Roman"/>
          <w:smallCaps/>
          <w:sz w:val="24"/>
          <w:szCs w:val="24"/>
        </w:rPr>
        <w:t xml:space="preserve">Joseph Schacht, An Introduction to Islamic Law</w:t>
      </w:r>
      <w:r>
        <w:rPr>
          <w:rFonts w:ascii="Times New Roman" w:cs="Times New Roman" w:eastAsia="Times New Roman" w:hAnsi="Times New Roman"/>
          <w:sz w:val="24"/>
          <w:szCs w:val="24"/>
        </w:rPr>
        <w:t xml:space="preserve"> (1964).</w:t>
      </w:r>
    </w:p>
    <w:p>
      <w:pPr>
        <w:spacing w:after="120" w:line="300"/>
        <w:ind w:start="420" w:hanging="420"/>
        <w:jc w:val="left"/>
      </w:pPr>
      <w:r>
        <w:rPr>
          <w:rFonts w:ascii="Times New Roman" w:cs="Times New Roman" w:eastAsia="Times New Roman" w:hAnsi="Times New Roman"/>
          <w:sz w:val="24"/>
          <w:szCs w:val="24"/>
        </w:rPr>
        <w:t xml:space="preserve">Nadav Shoked, </w:t>
      </w:r>
      <w:r>
        <w:rPr>
          <w:rFonts w:ascii="Times New Roman" w:cs="Times New Roman" w:eastAsia="Times New Roman" w:hAnsi="Times New Roman"/>
          <w:i/>
          <w:iCs/>
          <w:sz w:val="24"/>
          <w:szCs w:val="24"/>
        </w:rPr>
        <w:t xml:space="preserve">Who Needs Adverse Possession?</w:t>
      </w:r>
      <w:r>
        <w:rPr>
          <w:rFonts w:ascii="Times New Roman" w:cs="Times New Roman" w:eastAsia="Times New Roman" w:hAnsi="Times New Roman"/>
          <w:sz w:val="24"/>
          <w:szCs w:val="24"/>
        </w:rPr>
        <w:t xml:space="preserve">, 89 </w:t>
      </w:r>
      <w:r>
        <w:rPr>
          <w:rFonts w:ascii="Times New Roman" w:cs="Times New Roman" w:eastAsia="Times New Roman" w:hAnsi="Times New Roman"/>
          <w:smallCaps/>
          <w:sz w:val="24"/>
          <w:szCs w:val="24"/>
        </w:rPr>
        <w:t xml:space="preserve">Fordham Law Review</w:t>
      </w:r>
      <w:r>
        <w:rPr>
          <w:rFonts w:ascii="Times New Roman" w:cs="Times New Roman" w:eastAsia="Times New Roman" w:hAnsi="Times New Roman"/>
          <w:sz w:val="24"/>
          <w:szCs w:val="24"/>
        </w:rPr>
        <w:t xml:space="preserve"> 2639 (2021).</w:t>
      </w:r>
    </w:p>
    <w:p>
      <w:pPr>
        <w:spacing w:after="120" w:line="300"/>
        <w:ind w:start="420" w:hanging="420"/>
        <w:jc w:val="left"/>
      </w:pPr>
      <w:r>
        <w:rPr>
          <w:rFonts w:ascii="Times New Roman" w:cs="Times New Roman" w:eastAsia="Times New Roman" w:hAnsi="Times New Roman"/>
          <w:sz w:val="24"/>
          <w:szCs w:val="24"/>
        </w:rPr>
        <w:t xml:space="preserve">David Sims, </w:t>
      </w:r>
      <w:r>
        <w:rPr>
          <w:rFonts w:ascii="Times New Roman" w:cs="Times New Roman" w:eastAsia="Times New Roman" w:hAnsi="Times New Roman"/>
          <w:i/>
          <w:iCs/>
          <w:sz w:val="24"/>
          <w:szCs w:val="24"/>
        </w:rPr>
        <w:t xml:space="preserve">Securing Land Tenure in Egypt: Who Needs Registered Titles?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w:t>
      </w:r>
      <w:r>
        <w:rPr>
          <w:rFonts w:ascii="Times New Roman" w:cs="Times New Roman" w:eastAsia="Times New Roman" w:hAnsi="Times New Roman"/>
          <w:i/>
          <w:iCs/>
          <w:sz w:val="24"/>
          <w:szCs w:val="24"/>
        </w:rPr>
        <w:t xml:space="preserve">Proprietary Estoppel in the Supreme Court: Banquo’s Ghost?</w:t>
      </w:r>
      <w:r>
        <w:rPr>
          <w:rFonts w:ascii="Times New Roman" w:cs="Times New Roman" w:eastAsia="Times New Roman" w:hAnsi="Times New Roman"/>
          <w:sz w:val="24"/>
          <w:szCs w:val="24"/>
        </w:rPr>
        <w:t xml:space="preserve">, (2023) 82 </w:t>
      </w:r>
      <w:r>
        <w:rPr>
          <w:rFonts w:ascii="Times New Roman" w:cs="Times New Roman" w:eastAsia="Times New Roman" w:hAnsi="Times New Roman"/>
          <w:smallCaps/>
          <w:sz w:val="24"/>
          <w:szCs w:val="24"/>
        </w:rPr>
        <w:t xml:space="preserve">Cambridge Law Journal</w:t>
      </w:r>
      <w:r>
        <w:rPr>
          <w:rFonts w:ascii="Times New Roman" w:cs="Times New Roman" w:eastAsia="Times New Roman" w:hAnsi="Times New Roman"/>
          <w:sz w:val="24"/>
          <w:szCs w:val="24"/>
        </w:rPr>
        <w:t xml:space="preserve"> 13.</w:t>
      </w:r>
    </w:p>
    <w:p>
      <w:pPr>
        <w:spacing w:after="120" w:line="300"/>
        <w:ind w:start="420" w:hanging="420"/>
        <w:jc w:val="left"/>
      </w:pPr>
      <w:r>
        <w:rPr>
          <w:rFonts w:ascii="Times New Roman" w:cs="Times New Roman" w:eastAsia="Times New Roman" w:hAnsi="Times New Roman"/>
          <w:smallCaps/>
          <w:sz w:val="24"/>
          <w:szCs w:val="24"/>
        </w:rPr>
        <w:t xml:space="preserve">Kenneth W. Stein, The Land Question in Palestine, 1917–1939</w:t>
      </w:r>
      <w:r>
        <w:rPr>
          <w:rFonts w:ascii="Times New Roman" w:cs="Times New Roman" w:eastAsia="Times New Roman" w:hAnsi="Times New Roman"/>
          <w:sz w:val="24"/>
          <w:szCs w:val="24"/>
        </w:rPr>
        <w:t xml:space="preserve"> (1984).</w:t>
      </w:r>
    </w:p>
    <w:p>
      <w:pPr>
        <w:spacing w:after="120" w:line="300"/>
        <w:ind w:start="420" w:hanging="420"/>
        <w:jc w:val="left"/>
      </w:pPr>
      <w:r>
        <w:rPr>
          <w:rFonts w:ascii="Times New Roman" w:cs="Times New Roman" w:eastAsia="Times New Roman" w:hAnsi="Times New Roman"/>
          <w:sz w:val="24"/>
          <w:szCs w:val="24"/>
        </w:rPr>
        <w:t xml:space="preserve">Alex Waghorn, </w:t>
      </w:r>
      <w:r>
        <w:rPr>
          <w:rFonts w:ascii="Times New Roman" w:cs="Times New Roman" w:eastAsia="Times New Roman" w:hAnsi="Times New Roman"/>
          <w:i/>
          <w:iCs/>
          <w:sz w:val="24"/>
          <w:szCs w:val="24"/>
        </w:rPr>
        <w:t xml:space="preserve">Promises in Equity and at Law: Proprietary Estoppel after Guest v Guest</w:t>
      </w:r>
      <w:r>
        <w:rPr>
          <w:rFonts w:ascii="Times New Roman" w:cs="Times New Roman" w:eastAsia="Times New Roman" w:hAnsi="Times New Roman"/>
          <w:sz w:val="24"/>
          <w:szCs w:val="24"/>
        </w:rPr>
        <w:t xml:space="preserve">, (2023) 86 </w:t>
      </w:r>
      <w:r>
        <w:rPr>
          <w:rFonts w:ascii="Times New Roman" w:cs="Times New Roman" w:eastAsia="Times New Roman" w:hAnsi="Times New Roman"/>
          <w:smallCaps/>
          <w:sz w:val="24"/>
          <w:szCs w:val="24"/>
        </w:rPr>
        <w:t xml:space="preserve">Modern Law Review</w:t>
      </w:r>
      <w:r>
        <w:rPr>
          <w:rFonts w:ascii="Times New Roman" w:cs="Times New Roman" w:eastAsia="Times New Roman" w:hAnsi="Times New Roman"/>
          <w:sz w:val="24"/>
          <w:szCs w:val="24"/>
        </w:rPr>
        <w:t xml:space="preserve"> 1504.</w:t>
      </w:r>
    </w:p>
    <w:p>
      <w:pPr>
        <w:spacing w:after="120" w:line="300"/>
        <w:ind w:start="420" w:hanging="420"/>
        <w:jc w:val="left"/>
      </w:pPr>
      <w:r>
        <w:rPr>
          <w:rFonts w:ascii="Times New Roman" w:cs="Times New Roman" w:eastAsia="Times New Roman" w:hAnsi="Times New Roman"/>
          <w:smallCaps/>
          <w:sz w:val="24"/>
          <w:szCs w:val="24"/>
        </w:rPr>
        <w:t xml:space="preserve">Konrad Zweigert &amp; Hein Kötz, An Introduction to Comparative Law</w:t>
      </w:r>
      <w:r>
        <w:rPr>
          <w:rFonts w:ascii="Times New Roman" w:cs="Times New Roman" w:eastAsia="Times New Roman" w:hAnsi="Times New Roman"/>
          <w:sz w:val="24"/>
          <w:szCs w:val="24"/>
        </w:rPr>
        <w:t xml:space="preserve">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w:t>
      </w:r>
      <w:r>
        <w:rPr>
          <w:rFonts w:ascii="Times New Roman" w:cs="Times New Roman" w:eastAsia="Times New Roman" w:hAnsi="Times New Roman"/>
          <w:i/>
          <w:iCs/>
          <w:sz w:val="24"/>
          <w:szCs w:val="24"/>
        </w:rPr>
        <w:t xml:space="preserve">Updating the Land Registration Act 2002</w:t>
      </w:r>
      <w:r>
        <w:rPr>
          <w:rFonts w:ascii="Times New Roman" w:cs="Times New Roman" w:eastAsia="Times New Roman" w:hAnsi="Times New Roman"/>
          <w:sz w:val="24"/>
          <w:szCs w:val="24"/>
        </w:rPr>
        <w:t xml:space="preserve"> (Law Com. No. 380, 2018).</w:t>
      </w:r>
    </w:p>
    <w:p>
      <w:pPr>
        <w:spacing w:after="120" w:line="300"/>
        <w:ind w:start="420" w:hanging="420"/>
        <w:jc w:val="left"/>
      </w:pPr>
      <w:r>
        <w:rPr>
          <w:rFonts w:ascii="Times New Roman" w:cs="Times New Roman" w:eastAsia="Times New Roman" w:hAnsi="Times New Roman"/>
          <w:i/>
          <w:iCs/>
          <w:sz w:val="24"/>
          <w:szCs w:val="24"/>
        </w:rPr>
        <w:t xml:space="preserve">More than 90% of Egypt’s Properties Are Unregistered: Justice Minister</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Daily News Egypt</w:t>
      </w:r>
      <w:r>
        <w:rPr>
          <w:rFonts w:ascii="Times New Roman" w:cs="Times New Roman" w:eastAsia="Times New Roman" w:hAnsi="Times New Roman"/>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sz w:val="24"/>
          <w:szCs w:val="24"/>
        </w:rPr>
        <w:t xml:space="preserve">Real Estate Registration Law Amendments – Development Brief</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The Built Environment Observatory</w:t>
      </w:r>
      <w:r>
        <w:rPr>
          <w:rFonts w:ascii="Times New Roman" w:cs="Times New Roman" w:eastAsia="Times New Roman" w:hAnsi="Times New Roman"/>
          <w:sz w:val="24"/>
          <w:szCs w:val="24"/>
        </w:rPr>
        <w:t xml:space="preserve">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w:t>
      </w:r>
      <w:r>
        <w:rPr>
          <w:rFonts w:ascii="Times New Roman" w:cs="Times New Roman" w:eastAsia="Times New Roman" w:hAnsi="Times New Roman"/>
          <w:i/>
          <w:iCs/>
          <w:sz w:val="24"/>
          <w:szCs w:val="24"/>
        </w:rPr>
        <w:t xml:space="preserve">New Amendments to Real Estate Registration Law: Accelerated and Streamlined Registration Procedures</w:t>
      </w:r>
      <w:r>
        <w:rPr>
          <w:rFonts w:ascii="Times New Roman" w:cs="Times New Roman" w:eastAsia="Times New Roman" w:hAnsi="Times New Roman"/>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mallCaps/>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i/>
          <w:iCs/>
          <w:sz w:val="20"/>
          <w:szCs w:val="20"/>
          <w:rtl/>
        </w:rPr>
        <w:t xml:space="preserve">עיוני משפט</w:t>
      </w:r>
      <w:r>
        <w:rPr>
          <w:rFonts w:ascii="David" w:cs="David" w:eastAsia="David" w:hAnsi="David"/>
          <w:sz w:val="20"/>
          <w:szCs w:val="20"/>
          <w:rtl/>
        </w:rPr>
        <w:t xml:space="preserve">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להבחנה ולנפקויותיה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11">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(התש"ס).</w:t>
      </w:r>
    </w:p>
  </w:footnote>
  <w:footnote w:id="12">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3">
    <w:p>
      <w:pPr>
        <w:bidi/>
        <w:spacing w:after="60"/>
      </w:pPr>
      <w:r>
        <w:rPr>
          <w:rStyle w:val="FootnoteReference"/>
        </w:rPr>
        <w:footnoteRef/>
      </w:r>
      <w:r>
        <w:rPr>
          <w:rFonts w:ascii="David" w:cs="David" w:eastAsia="David" w:hAnsi="David"/>
          <w:sz w:val="20"/>
          <w:szCs w:val="20"/>
          <w:rtl/>
        </w:rPr>
        <w:t xml:space="preserve">לריכוז התביעות בידי פקיד ההסדר ראו 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(להלן: עניין אלוש); ולשלילת ההתיישנות במקרקעין מוסדרים ראו ס׳ 159(ב) לחוק המקרקעין.</w:t>
      </w:r>
    </w:p>
  </w:footnote>
  <w:footnote w:id="1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אלוש</w:t>
      </w:r>
      <w:r>
        <w:rPr>
          <w:rFonts w:ascii="David" w:cs="David" w:eastAsia="David" w:hAnsi="David"/>
          <w:sz w:val="20"/>
          <w:szCs w:val="20"/>
          <w:rtl/>
        </w:rPr>
        <w:t xml:space="preserve">, </w:t>
      </w:r>
      <w:r>
        <w:rPr>
          <w:rFonts w:ascii="David" w:cs="David" w:eastAsia="David" w:hAnsi="David"/>
          <w:sz w:val="20"/>
          <w:szCs w:val="20"/>
          <w:rtl/>
        </w:rPr>
        <w:t xml:space="preserve">לעיל ה"ש 13</w:t>
      </w:r>
      <w:r>
        <w:rPr>
          <w:rFonts w:ascii="David" w:cs="David" w:eastAsia="David" w:hAnsi="David"/>
          <w:sz w:val="20"/>
          <w:szCs w:val="20"/>
          <w:rtl/>
        </w:rPr>
        <w:t xml:space="preserve">; ולמגבלות פנקס השטרות ולתכליתם של הליכי ההסדר ראו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6">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mallCaps/>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7">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mallCaps/>
          <w:sz w:val="20"/>
          <w:szCs w:val="20"/>
        </w:rPr>
        <w:t xml:space="preserve">Kenneth W. Stein, The Land Question in Palestine, 1917–1939 (1984)</w:t>
      </w:r>
      <w:r>
        <w:rPr>
          <w:rFonts w:ascii="Times New Roman" w:cs="Times New Roman" w:eastAsia="Times New Roman" w:hAnsi="Times New Roman"/>
          <w:sz w:val="20"/>
          <w:szCs w:val="20"/>
        </w:rPr>
        <w:t xml:space="preserve">; Amos Nadan, </w:t>
      </w:r>
      <w:r>
        <w:rPr>
          <w:rFonts w:ascii="Times New Roman" w:cs="Times New Roman" w:eastAsia="Times New Roman" w:hAnsi="Times New Roman"/>
          <w:i/>
          <w:iCs/>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sz w:val="20"/>
          <w:szCs w:val="20"/>
        </w:rPr>
        <w:t xml:space="preserve">, 46 </w:t>
      </w:r>
      <w:r>
        <w:rPr>
          <w:rFonts w:ascii="Times New Roman" w:cs="Times New Roman" w:eastAsia="Times New Roman" w:hAnsi="Times New Roman"/>
          <w:smallCaps/>
          <w:sz w:val="20"/>
          <w:szCs w:val="20"/>
        </w:rPr>
        <w:t xml:space="preserve">J. Econ. &amp; Soc. Hist. Orient</w:t>
      </w:r>
      <w:r>
        <w:rPr>
          <w:rFonts w:ascii="Times New Roman" w:cs="Times New Roman" w:eastAsia="Times New Roman" w:hAnsi="Times New Roman"/>
          <w:sz w:val="20"/>
          <w:szCs w:val="20"/>
        </w:rPr>
        <w:t xml:space="preserve">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w:t>
      </w:r>
      <w:r>
        <w:rPr>
          <w:rFonts w:ascii="David" w:cs="David" w:eastAsia="David" w:hAnsi="David"/>
          <w:i/>
          <w:iCs/>
          <w:sz w:val="20"/>
          <w:szCs w:val="20"/>
          <w:rtl/>
        </w:rPr>
        <w:t xml:space="preserve">משפט וממשל</w:t>
      </w:r>
      <w:r>
        <w:rPr>
          <w:rFonts w:ascii="David" w:cs="David" w:eastAsia="David" w:hAnsi="David"/>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i/>
          <w:iCs/>
          <w:sz w:val="20"/>
          <w:szCs w:val="20"/>
          <w:rtl/>
        </w:rPr>
        <w:t xml:space="preserve">עיוני משפט</w:t>
      </w:r>
      <w:r>
        <w:rPr>
          <w:rFonts w:ascii="David" w:cs="David" w:eastAsia="David" w:hAnsi="David"/>
          <w:sz w:val="20"/>
          <w:szCs w:val="20"/>
          <w:rtl/>
        </w:rPr>
        <w:t xml:space="preserve"> לד 183 (2011).</w:t>
      </w:r>
    </w:p>
  </w:footnote>
  <w:footnote w:id="19">
    <w:p>
      <w:pPr>
        <w:bidi/>
        <w:spacing w:after="60"/>
      </w:pPr>
      <w:r>
        <w:rPr>
          <w:rStyle w:val="FootnoteReference"/>
        </w:rPr>
        <w:footnoteRef/>
      </w:r>
      <w:r>
        <w:rPr>
          <w:rFonts w:ascii="David" w:cs="David" w:eastAsia="David" w:hAnsi="David"/>
          <w:sz w:val="20"/>
          <w:szCs w:val="20"/>
          <w:rtl/>
        </w:rPr>
        <w:t xml:space="preserve">שי שטרן </w:t>
      </w:r>
      <w:r>
        <w:rPr>
          <w:rFonts w:ascii="David" w:cs="David" w:eastAsia="David" w:hAnsi="David"/>
          <w:i/>
          <w:iCs/>
          <w:sz w:val="20"/>
          <w:szCs w:val="20"/>
          <w:rtl/>
        </w:rPr>
        <w:t xml:space="preserve">קהילות במשפט</w:t>
      </w:r>
      <w:r>
        <w:rPr>
          <w:rFonts w:ascii="David" w:cs="David" w:eastAsia="David" w:hAnsi="David"/>
          <w:sz w:val="20"/>
          <w:szCs w:val="20"/>
          <w:rtl/>
        </w:rPr>
        <w:t xml:space="preserve"> 252–253 (2026) (להלן: שטרן): המפגש בין תפיסות המרחב של הקהילות הערביות (קהילות מבוססות-מקום, place-based communities) ובין מגמות התכנון הממלכתיות הוליד "מחסור אקוטי בדיור, היעדר תכנון מרחבי ותשתיתי והרחבה ניכרת של בנייה חורגת למגורים ולעסקים".</w:t>
      </w:r>
    </w:p>
  </w:footnote>
  <w:footnote w:id="20">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i/>
          <w:iCs/>
          <w:sz w:val="20"/>
          <w:szCs w:val="20"/>
          <w:rtl/>
        </w:rPr>
        <w:t xml:space="preserve">משפטים</w:t>
      </w:r>
      <w:r>
        <w:rPr>
          <w:rFonts w:ascii="David" w:cs="David" w:eastAsia="David" w:hAnsi="David"/>
          <w:sz w:val="20"/>
          <w:szCs w:val="20"/>
          <w:rtl/>
        </w:rPr>
        <w:t xml:space="preserve"> יד 572 (התשמ"ה); ולביקורת על השימוש בהרשאה בלתי הדירה לביצוע מתנה ראו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(התשמ"ט).</w:t>
      </w:r>
    </w:p>
  </w:footnote>
  <w:footnote w:id="21">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22">
    <w:p>
      <w:pPr>
        <w:bidi/>
        <w:spacing w:after="60"/>
      </w:pPr>
      <w:r>
        <w:rPr>
          <w:rStyle w:val="FootnoteReference"/>
        </w:rPr>
        <w:footnoteRef/>
      </w:r>
      <w:r>
        <w:rPr>
          <w:rFonts w:ascii="David" w:cs="David" w:eastAsia="David" w:hAnsi="David"/>
          <w:sz w:val="20"/>
          <w:szCs w:val="20"/>
          <w:rtl/>
        </w:rPr>
        <w:t xml:space="preserve">שטרן, </w:t>
      </w:r>
      <w:r>
        <w:rPr>
          <w:rFonts w:ascii="David" w:cs="David" w:eastAsia="David" w:hAnsi="David"/>
          <w:sz w:val="20"/>
          <w:szCs w:val="20"/>
          <w:rtl/>
        </w:rPr>
        <w:t xml:space="preserve">לעיל ה"ש 19</w:t>
      </w:r>
      <w:r>
        <w:rPr>
          <w:rFonts w:ascii="David" w:cs="David" w:eastAsia="David" w:hAnsi="David"/>
          <w:sz w:val="20"/>
          <w:szCs w:val="20"/>
          <w:rtl/>
        </w:rPr>
        <w:t xml:space="preserve">, בעמ׳ 248–249.</w:t>
      </w:r>
    </w:p>
  </w:footnote>
  <w:footnote w:id="23">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 לאימוץ הניתוח ראו שטרן, </w:t>
      </w:r>
      <w:r>
        <w:rPr>
          <w:rFonts w:ascii="David" w:cs="David" w:eastAsia="David" w:hAnsi="David"/>
          <w:sz w:val="20"/>
          <w:szCs w:val="20"/>
          <w:rtl/>
        </w:rPr>
        <w:t xml:space="preserve">לעיל ה"ש 19</w:t>
      </w:r>
      <w:r>
        <w:rPr>
          <w:rFonts w:ascii="David" w:cs="David" w:eastAsia="David" w:hAnsi="David"/>
          <w:sz w:val="20"/>
          <w:szCs w:val="20"/>
          <w:rtl/>
        </w:rPr>
        <w:t xml:space="preserve">, בעמ׳ 248–249, המכתיר את הקהילה הערבית "כמנגנון לשימור זהות וטריטוריה" ומדגיש כי הקניין המשפחתי משמש בה בסיס חברתי-תרבותי, לא נכס סחיר גרידא.</w:t>
      </w:r>
    </w:p>
  </w:footnote>
  <w:footnote w:id="24">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w:t>
      </w:r>
      <w:r>
        <w:rPr>
          <w:rFonts w:ascii="Times New Roman" w:cs="Times New Roman" w:eastAsia="Times New Roman" w:hAnsi="Times New Roman"/>
          <w:i/>
          <w:iCs/>
          <w:sz w:val="20"/>
          <w:szCs w:val="20"/>
        </w:rPr>
        <w:t xml:space="preserve">Land Market Segmentation Along Ethnic Lines: Four Urban Localities in Israel as a Case Study</w:t>
      </w:r>
      <w:r>
        <w:rPr>
          <w:rFonts w:ascii="Times New Roman" w:cs="Times New Roman" w:eastAsia="Times New Roman" w:hAnsi="Times New Roman"/>
          <w:sz w:val="20"/>
          <w:szCs w:val="20"/>
        </w:rPr>
        <w:t xml:space="preserve">, 136 </w:t>
      </w:r>
      <w:r>
        <w:rPr>
          <w:rFonts w:ascii="Times New Roman" w:cs="Times New Roman" w:eastAsia="Times New Roman" w:hAnsi="Times New Roman"/>
          <w:smallCaps/>
          <w:sz w:val="20"/>
          <w:szCs w:val="20"/>
        </w:rPr>
        <w:t xml:space="preserve">Land Use Policy</w:t>
      </w:r>
      <w:r>
        <w:rPr>
          <w:rFonts w:ascii="Times New Roman" w:cs="Times New Roman" w:eastAsia="Times New Roman" w:hAnsi="Times New Roman"/>
          <w:sz w:val="20"/>
          <w:szCs w:val="20"/>
        </w:rPr>
        <w:t xml:space="preserve"> art. 106916 (2024)</w:t>
      </w:r>
      <w:r>
        <w:rPr>
          <w:rFonts w:ascii="David" w:cs="David" w:eastAsia="David" w:hAnsi="David"/>
          <w:sz w:val="20"/>
          <w:szCs w:val="20"/>
          <w:rtl/>
        </w:rPr>
        <w:t xml:space="preserve">.</w:t>
      </w:r>
    </w:p>
  </w:footnote>
  <w:footnote w:id="25">
    <w:p>
      <w:pPr>
        <w:bidi/>
        <w:spacing w:after="60"/>
      </w:pPr>
      <w:r>
        <w:rPr>
          <w:rStyle w:val="FootnoteReference"/>
        </w:rPr>
        <w:footnoteRef/>
      </w:r>
      <w:r>
        <w:rPr>
          <w:rFonts w:ascii="David" w:cs="David" w:eastAsia="David" w:hAnsi="David"/>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6">
    <w:p>
      <w:pPr>
        <w:bidi/>
        <w:spacing w:after="60"/>
      </w:pPr>
      <w:r>
        <w:rPr>
          <w:rStyle w:val="FootnoteReference"/>
        </w:rPr>
        <w:footnoteRef/>
      </w:r>
      <w:r>
        <w:rPr>
          <w:rFonts w:ascii="David" w:cs="David" w:eastAsia="David" w:hAnsi="David"/>
          <w:sz w:val="20"/>
          <w:szCs w:val="20"/>
          <w:rtl/>
        </w:rPr>
        <w:t xml:space="preserve">לדפוס הדיוני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427–429 (מהדורה שנייה 2024) (להלן: שקד), המתאר את ניסוחן של תביעות פינוי המוגשות נגד מחזיקים שברקע החזקתם רישיון, ואת חשיבות ההתייחסות המפורשת לטענת הרישיון וביטולו בכתבי הטענות.</w:t>
      </w:r>
    </w:p>
  </w:footnote>
  <w:footnote w:id="27">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8">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w:t>
      </w:r>
      <w:r>
        <w:rPr>
          <w:rFonts w:ascii="David" w:cs="David" w:eastAsia="David" w:hAnsi="David"/>
          <w:i/>
          <w:iCs/>
          <w:sz w:val="20"/>
          <w:szCs w:val="20"/>
          <w:rtl/>
        </w:rPr>
        <w:t xml:space="preserve">משפטים על אתר</w:t>
      </w:r>
      <w:r>
        <w:rPr>
          <w:rFonts w:ascii="David" w:cs="David" w:eastAsia="David" w:hAnsi="David"/>
          <w:sz w:val="20"/>
          <w:szCs w:val="20"/>
          <w:rtl/>
        </w:rPr>
        <w:t xml:space="preserve"> יג 79 (התש"ף).</w:t>
      </w:r>
    </w:p>
  </w:footnote>
  <w:footnote w:id="29">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30">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 ולעמידות הזכות בפני חלוף הזמן ראו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הנדון להלן בפרק ג.2.</w:t>
      </w:r>
    </w:p>
  </w:footnote>
  <w:footnote w:id="31">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32">
    <w:p>
      <w:pPr>
        <w:bidi/>
        <w:spacing w:after="60"/>
      </w:pPr>
      <w:r>
        <w:rPr>
          <w:rStyle w:val="FootnoteReference"/>
        </w:rPr>
        <w:footnoteRef/>
      </w:r>
      <w:r>
        <w:rPr>
          <w:rFonts w:ascii="David" w:cs="David" w:eastAsia="David" w:hAnsi="David"/>
          <w:sz w:val="20"/>
          <w:szCs w:val="20"/>
          <w:rtl/>
        </w:rPr>
        <w:t xml:space="preserve">ויסמן, </w:t>
      </w:r>
      <w:r>
        <w:rPr>
          <w:rFonts w:ascii="David" w:cs="David" w:eastAsia="David" w:hAnsi="David"/>
          <w:sz w:val="20"/>
          <w:szCs w:val="20"/>
          <w:rtl/>
        </w:rPr>
        <w:t xml:space="preserve">לעיל ה"ש 20</w:t>
      </w:r>
      <w:r>
        <w:rPr>
          <w:rFonts w:ascii="David" w:cs="David" w:eastAsia="David" w:hAnsi="David"/>
          <w:sz w:val="20"/>
          <w:szCs w:val="20"/>
          <w:rtl/>
        </w:rPr>
        <w:t xml:space="preserve">.</w:t>
      </w:r>
    </w:p>
  </w:footnote>
  <w:footnote w:id="33">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3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35">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36">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7">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20</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8">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ראו ברק, </w:t>
      </w:r>
      <w:r>
        <w:rPr>
          <w:rFonts w:ascii="David" w:cs="David" w:eastAsia="David" w:hAnsi="David"/>
          <w:sz w:val="20"/>
          <w:szCs w:val="20"/>
          <w:rtl/>
        </w:rPr>
        <w:t xml:space="preserve">לעיל ה"ש 37</w:t>
      </w:r>
      <w:r>
        <w:rPr>
          <w:rFonts w:ascii="David" w:cs="David" w:eastAsia="David" w:hAnsi="David"/>
          <w:sz w:val="20"/>
          <w:szCs w:val="20"/>
          <w:rtl/>
        </w:rPr>
        <w:t xml:space="preserve">, בעמ׳ 1244–1245.</w:t>
      </w:r>
    </w:p>
  </w:footnote>
  <w:footnote w:id="39">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37</w:t>
      </w:r>
      <w:r>
        <w:rPr>
          <w:rFonts w:ascii="David" w:cs="David" w:eastAsia="David" w:hAnsi="David"/>
          <w:sz w:val="20"/>
          <w:szCs w:val="20"/>
          <w:rtl/>
        </w:rPr>
        <w:t xml:space="preserve">, בעמ׳ 1242.</w:t>
      </w:r>
    </w:p>
  </w:footnote>
  <w:footnote w:id="40">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4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42">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w:t>
      </w:r>
      <w:r>
        <w:rPr>
          <w:rFonts w:ascii="David" w:cs="David" w:eastAsia="David" w:hAnsi="David"/>
          <w:i/>
          <w:iCs/>
          <w:sz w:val="20"/>
          <w:szCs w:val="20"/>
          <w:rtl/>
        </w:rPr>
        <w:t xml:space="preserve">הפרקליט</w:t>
      </w:r>
      <w:r>
        <w:rPr>
          <w:rFonts w:ascii="David" w:cs="David" w:eastAsia="David" w:hAnsi="David"/>
          <w:sz w:val="20"/>
          <w:szCs w:val="20"/>
          <w:rtl/>
        </w:rPr>
        <w:t xml:space="preserve"> לח 383 (התשמ"ט).</w:t>
      </w:r>
    </w:p>
  </w:footnote>
  <w:footnote w:id="43">
    <w:p>
      <w:pPr>
        <w:bidi/>
        <w:spacing w:after="60"/>
      </w:pPr>
      <w:r>
        <w:rPr>
          <w:rStyle w:val="FootnoteReference"/>
        </w:rPr>
        <w:footnoteRef/>
      </w:r>
      <w:r>
        <w:rPr>
          <w:rFonts w:ascii="David" w:cs="David" w:eastAsia="David" w:hAnsi="David"/>
          <w:sz w:val="20"/>
          <w:szCs w:val="20"/>
          <w:rtl/>
        </w:rPr>
        <w:t xml:space="preserve">לניתוח שתי הגישות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535–541 (מהדורה שנייה 2018) (להלן: פרידמן וכהן).</w:t>
      </w:r>
    </w:p>
  </w:footnote>
  <w:footnote w:id="44">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פרידמן וכהן, </w:t>
      </w:r>
      <w:r>
        <w:rPr>
          <w:rFonts w:ascii="David" w:cs="David" w:eastAsia="David" w:hAnsi="David"/>
          <w:sz w:val="20"/>
          <w:szCs w:val="20"/>
          <w:rtl/>
        </w:rPr>
        <w:t xml:space="preserve">לעיל ה"ש 43</w:t>
      </w:r>
      <w:r>
        <w:rPr>
          <w:rFonts w:ascii="David" w:cs="David" w:eastAsia="David" w:hAnsi="David"/>
          <w:sz w:val="20"/>
          <w:szCs w:val="20"/>
          <w:rtl/>
        </w:rPr>
        <w:t xml:space="preserve">, בעמ׳ 493–525.</w:t>
      </w:r>
    </w:p>
  </w:footnote>
  <w:footnote w:id="45">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43</w:t>
      </w:r>
      <w:r>
        <w:rPr>
          <w:rFonts w:ascii="David" w:cs="David" w:eastAsia="David" w:hAnsi="David"/>
          <w:sz w:val="20"/>
          <w:szCs w:val="20"/>
          <w:rtl/>
        </w:rPr>
        <w:t xml:space="preserve">, בעמ׳ 500.</w:t>
      </w:r>
    </w:p>
  </w:footnote>
  <w:footnote w:id="46">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43</w:t>
      </w:r>
      <w:r>
        <w:rPr>
          <w:rFonts w:ascii="David" w:cs="David" w:eastAsia="David" w:hAnsi="David"/>
          <w:sz w:val="20"/>
          <w:szCs w:val="20"/>
          <w:rtl/>
        </w:rPr>
        <w:t xml:space="preserve">, בעמ׳ 539–541, והפסיקה הנסקרת שם.</w:t>
      </w:r>
    </w:p>
  </w:footnote>
  <w:footnote w:id="47">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43</w:t>
      </w:r>
      <w:r>
        <w:rPr>
          <w:rFonts w:ascii="David" w:cs="David" w:eastAsia="David" w:hAnsi="David"/>
          <w:sz w:val="20"/>
          <w:szCs w:val="20"/>
          <w:rtl/>
        </w:rPr>
        <w:t xml:space="preserve">, בעמ׳ 540.</w:t>
      </w:r>
    </w:p>
  </w:footnote>
  <w:footnote w:id="48">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"משרידיו האחרונים של המשפט העותומני",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43</w:t>
      </w:r>
      <w:r>
        <w:rPr>
          <w:rFonts w:ascii="David" w:cs="David" w:eastAsia="David" w:hAnsi="David"/>
          <w:sz w:val="20"/>
          <w:szCs w:val="20"/>
          <w:rtl/>
        </w:rPr>
        <w:t xml:space="preserve">, בעמ׳ 485–488.</w:t>
      </w:r>
    </w:p>
  </w:footnote>
  <w:footnote w:id="49">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50">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1996).</w:t>
      </w:r>
    </w:p>
  </w:footnote>
  <w:footnote w:id="51">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43</w:t>
      </w:r>
      <w:r>
        <w:rPr>
          <w:rFonts w:ascii="David" w:cs="David" w:eastAsia="David" w:hAnsi="David"/>
          <w:sz w:val="20"/>
          <w:szCs w:val="20"/>
          <w:rtl/>
        </w:rPr>
        <w:t xml:space="preserve">, בעמ׳ 534–535; ראבילו, </w:t>
      </w:r>
      <w:r>
        <w:rPr>
          <w:rFonts w:ascii="David" w:cs="David" w:eastAsia="David" w:hAnsi="David"/>
          <w:sz w:val="20"/>
          <w:szCs w:val="20"/>
          <w:rtl/>
        </w:rPr>
        <w:t xml:space="preserve">לעיל ה"ש 50</w:t>
      </w:r>
      <w:r>
        <w:rPr>
          <w:rFonts w:ascii="David" w:cs="David" w:eastAsia="David" w:hAnsi="David"/>
          <w:sz w:val="20"/>
          <w:szCs w:val="20"/>
          <w:rtl/>
        </w:rPr>
        <w:t xml:space="preserve">, בעמ׳ 331–338.</w:t>
      </w:r>
    </w:p>
  </w:footnote>
  <w:footnote w:id="52">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50</w:t>
      </w:r>
      <w:r>
        <w:rPr>
          <w:rFonts w:ascii="David" w:cs="David" w:eastAsia="David" w:hAnsi="David"/>
          <w:sz w:val="20"/>
          <w:szCs w:val="20"/>
          <w:rtl/>
        </w:rPr>
        <w:t xml:space="preserve">, בעמ׳ 344 ואילך.</w:t>
      </w:r>
    </w:p>
  </w:footnote>
  <w:footnote w:id="53">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50</w:t>
      </w:r>
      <w:r>
        <w:rPr>
          <w:rFonts w:ascii="David" w:cs="David" w:eastAsia="David" w:hAnsi="David"/>
          <w:sz w:val="20"/>
          <w:szCs w:val="20"/>
          <w:rtl/>
        </w:rPr>
        <w:t xml:space="preserve">, בעמ׳ 345–346; והשוו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(התשמ"ט).</w:t>
      </w:r>
    </w:p>
  </w:footnote>
  <w:footnote w:id="54">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55">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"היושר לא יסייע למתנדב", ראו להלן פרק ו.1.4.</w:t>
      </w:r>
    </w:p>
  </w:footnote>
  <w:footnote w:id="56">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50</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57">
    <w:p>
      <w:pPr>
        <w:bidi/>
        <w:spacing w:after="60"/>
      </w:pPr>
      <w:r>
        <w:rPr>
          <w:rStyle w:val="FootnoteReference"/>
        </w:rPr>
        <w:footnoteRef/>
      </w:r>
      <w:r>
        <w:rPr>
          <w:rFonts w:ascii="David" w:cs="David" w:eastAsia="David" w:hAnsi="David"/>
          <w:sz w:val="20"/>
          <w:szCs w:val="20"/>
          <w:rtl/>
        </w:rPr>
        <w:t xml:space="preserve">נינה זלצמן "רישיון במקרקעין" </w:t>
      </w:r>
      <w:r>
        <w:rPr>
          <w:rFonts w:ascii="David" w:cs="David" w:eastAsia="David" w:hAnsi="David"/>
          <w:i/>
          <w:iCs/>
          <w:sz w:val="20"/>
          <w:szCs w:val="20"/>
          <w:rtl/>
        </w:rPr>
        <w:t xml:space="preserve">הפרקליט</w:t>
      </w:r>
      <w:r>
        <w:rPr>
          <w:rFonts w:ascii="David" w:cs="David" w:eastAsia="David" w:hAnsi="David"/>
          <w:sz w:val="20"/>
          <w:szCs w:val="20"/>
          <w:rtl/>
        </w:rPr>
        <w:t xml:space="preserve"> מב 24 (התשנ"ה).</w:t>
      </w:r>
    </w:p>
  </w:footnote>
  <w:footnote w:id="58">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שקד, </w:t>
      </w:r>
      <w:r>
        <w:rPr>
          <w:rFonts w:ascii="David" w:cs="David" w:eastAsia="David" w:hAnsi="David"/>
          <w:sz w:val="20"/>
          <w:szCs w:val="20"/>
          <w:rtl/>
        </w:rPr>
        <w:t xml:space="preserve">לעיל ה"ש 26</w:t>
      </w:r>
      <w:r>
        <w:rPr>
          <w:rFonts w:ascii="David" w:cs="David" w:eastAsia="David" w:hAnsi="David"/>
          <w:sz w:val="20"/>
          <w:szCs w:val="20"/>
          <w:rtl/>
        </w:rPr>
        <w:t xml:space="preserve">, בעמ׳ 405–408.</w:t>
      </w:r>
    </w:p>
  </w:footnote>
  <w:footnote w:id="59">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60">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26</w:t>
      </w:r>
      <w:r>
        <w:rPr>
          <w:rFonts w:ascii="David" w:cs="David" w:eastAsia="David" w:hAnsi="David"/>
          <w:sz w:val="20"/>
          <w:szCs w:val="20"/>
          <w:rtl/>
        </w:rPr>
        <w:t xml:space="preserve">, בעמ׳ 415–418.</w:t>
      </w:r>
    </w:p>
  </w:footnote>
  <w:footnote w:id="61">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26</w:t>
      </w:r>
      <w:r>
        <w:rPr>
          <w:rFonts w:ascii="David" w:cs="David" w:eastAsia="David" w:hAnsi="David"/>
          <w:sz w:val="20"/>
          <w:szCs w:val="20"/>
          <w:rtl/>
        </w:rPr>
        <w:t xml:space="preserve">, בעמ׳ 419.</w:t>
      </w:r>
    </w:p>
  </w:footnote>
  <w:footnote w:id="62">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 ולאיסור העברת הרשות, בהיותה זכות אישית הפועלת כלפי נותנה בלבד, ראו שקד, </w:t>
      </w:r>
      <w:r>
        <w:rPr>
          <w:rFonts w:ascii="David" w:cs="David" w:eastAsia="David" w:hAnsi="David"/>
          <w:sz w:val="20"/>
          <w:szCs w:val="20"/>
          <w:rtl/>
        </w:rPr>
        <w:t xml:space="preserve">לעיל ה"ש 26</w:t>
      </w:r>
      <w:r>
        <w:rPr>
          <w:rFonts w:ascii="David" w:cs="David" w:eastAsia="David" w:hAnsi="David"/>
          <w:sz w:val="20"/>
          <w:szCs w:val="20"/>
          <w:rtl/>
        </w:rPr>
        <w:t xml:space="preserve">, בעמ׳ 426–427, והפסיקה הנסקרת שם.</w:t>
      </w:r>
    </w:p>
  </w:footnote>
  <w:footnote w:id="63">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26</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64">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59</w:t>
      </w:r>
      <w:r>
        <w:rPr>
          <w:rFonts w:ascii="David" w:cs="David" w:eastAsia="David" w:hAnsi="David"/>
          <w:sz w:val="20"/>
          <w:szCs w:val="20"/>
          <w:rtl/>
        </w:rPr>
        <w:t xml:space="preserve">; שקד, </w:t>
      </w:r>
      <w:r>
        <w:rPr>
          <w:rFonts w:ascii="David" w:cs="David" w:eastAsia="David" w:hAnsi="David"/>
          <w:sz w:val="20"/>
          <w:szCs w:val="20"/>
          <w:rtl/>
        </w:rPr>
        <w:t xml:space="preserve">לעיל ה"ש 26</w:t>
      </w:r>
      <w:r>
        <w:rPr>
          <w:rFonts w:ascii="David" w:cs="David" w:eastAsia="David" w:hAnsi="David"/>
          <w:sz w:val="20"/>
          <w:szCs w:val="20"/>
          <w:rtl/>
        </w:rPr>
        <w:t xml:space="preserve">, בעמ׳ 430–433.</w:t>
      </w:r>
    </w:p>
  </w:footnote>
  <w:footnote w:id="65">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(להלן: חבקין); שקד, </w:t>
      </w:r>
      <w:r>
        <w:rPr>
          <w:rFonts w:ascii="David" w:cs="David" w:eastAsia="David" w:hAnsi="David"/>
          <w:sz w:val="20"/>
          <w:szCs w:val="20"/>
          <w:rtl/>
        </w:rPr>
        <w:t xml:space="preserve">לעיל ה"ש 26</w:t>
      </w:r>
      <w:r>
        <w:rPr>
          <w:rFonts w:ascii="David" w:cs="David" w:eastAsia="David" w:hAnsi="David"/>
          <w:sz w:val="20"/>
          <w:szCs w:val="20"/>
          <w:rtl/>
        </w:rPr>
        <w:t xml:space="preserve">, פרק שנים-עשר.</w:t>
      </w:r>
    </w:p>
  </w:footnote>
  <w:footnote w:id="66">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26</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57</w:t>
      </w:r>
      <w:r>
        <w:rPr>
          <w:rFonts w:ascii="David" w:cs="David" w:eastAsia="David" w:hAnsi="David"/>
          <w:sz w:val="20"/>
          <w:szCs w:val="20"/>
          <w:rtl/>
        </w:rPr>
        <w:t xml:space="preserve">, לעניין היחס בין רישיון לחזקה. להתיישנות הדיונית ראו ס׳ 2 לחוק ההתיישנות, התשי"ח–1958; ולמקבילתה ההיסטורית במג׳לה ראו להלן פרק ו.3.3.</w:t>
      </w:r>
    </w:p>
  </w:footnote>
  <w:footnote w:id="67">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26</w:t>
      </w:r>
      <w:r>
        <w:rPr>
          <w:rFonts w:ascii="David" w:cs="David" w:eastAsia="David" w:hAnsi="David"/>
          <w:sz w:val="20"/>
          <w:szCs w:val="20"/>
          <w:rtl/>
        </w:rPr>
        <w:t xml:space="preserve">, פרק שנים-עשר; וכן חבקין, </w:t>
      </w:r>
      <w:r>
        <w:rPr>
          <w:rFonts w:ascii="David" w:cs="David" w:eastAsia="David" w:hAnsi="David"/>
          <w:sz w:val="20"/>
          <w:szCs w:val="20"/>
          <w:rtl/>
        </w:rPr>
        <w:t xml:space="preserve">לעיל ה"ש 65</w:t>
      </w:r>
      <w:r>
        <w:rPr>
          <w:rFonts w:ascii="David" w:cs="David" w:eastAsia="David" w:hAnsi="David"/>
          <w:sz w:val="20"/>
          <w:szCs w:val="20"/>
          <w:rtl/>
        </w:rPr>
        <w:t xml:space="preserve">, לעניין יסודות החזקה הנוגדת ונטל ההוכחה המוטל על הטוען לה.</w:t>
      </w:r>
    </w:p>
  </w:footnote>
  <w:footnote w:id="6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49</w:t>
      </w:r>
      <w:r>
        <w:rPr>
          <w:rFonts w:ascii="David" w:cs="David" w:eastAsia="David" w:hAnsi="David"/>
          <w:sz w:val="20"/>
          <w:szCs w:val="20"/>
          <w:rtl/>
        </w:rPr>
        <w:t xml:space="preserve">.</w:t>
      </w:r>
    </w:p>
  </w:footnote>
  <w:footnote w:id="69">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7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69</w:t>
      </w:r>
      <w:r>
        <w:rPr>
          <w:rFonts w:ascii="David" w:cs="David" w:eastAsia="David" w:hAnsi="David"/>
          <w:sz w:val="20"/>
          <w:szCs w:val="20"/>
          <w:rtl/>
        </w:rPr>
        <w:t xml:space="preserve">, בעמ׳ 3–4 לפסק הדין.</w:t>
      </w:r>
    </w:p>
  </w:footnote>
  <w:footnote w:id="71">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36</w:t>
      </w:r>
      <w:r>
        <w:rPr>
          <w:rFonts w:ascii="David" w:cs="David" w:eastAsia="David" w:hAnsi="David"/>
          <w:sz w:val="20"/>
          <w:szCs w:val="20"/>
          <w:rtl/>
        </w:rPr>
        <w:t xml:space="preserve">.</w:t>
      </w:r>
    </w:p>
  </w:footnote>
  <w:footnote w:id="72">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73">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74">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75">
    <w:p>
      <w:pPr>
        <w:bidi/>
        <w:spacing w:after="60"/>
      </w:pPr>
      <w:r>
        <w:rPr>
          <w:rStyle w:val="FootnoteReference"/>
        </w:rPr>
        <w:footnoteRef/>
      </w:r>
      <w:r>
        <w:rPr>
          <w:rFonts w:ascii="David" w:cs="David" w:eastAsia="David" w:hAnsi="David"/>
          <w:sz w:val="20"/>
          <w:szCs w:val="20"/>
          <w:rtl/>
        </w:rPr>
        <w:t xml:space="preserve">להנחת המסד העיוני של ההבחנה (כוחה של הזכות הקניינית כלפי כולי עלמא לעומת כוחה של הזכות האישית בין הצדדים בלבד)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76">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 משפחתיות כולן פועלות במישור האובליגטורי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43</w:t>
      </w:r>
      <w:r>
        <w:rPr>
          <w:rFonts w:ascii="David" w:cs="David" w:eastAsia="David" w:hAnsi="David"/>
          <w:sz w:val="20"/>
          <w:szCs w:val="20"/>
          <w:rtl/>
        </w:rPr>
        <w:t xml:space="preserve">, בעמ׳ 499–500.</w:t>
      </w:r>
    </w:p>
  </w:footnote>
  <w:footnote w:id="7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אלוש</w:t>
      </w:r>
      <w:r>
        <w:rPr>
          <w:rFonts w:ascii="David" w:cs="David" w:eastAsia="David" w:hAnsi="David"/>
          <w:sz w:val="20"/>
          <w:szCs w:val="20"/>
          <w:rtl/>
        </w:rPr>
        <w:t xml:space="preserve">, </w:t>
      </w:r>
      <w:r>
        <w:rPr>
          <w:rFonts w:ascii="David" w:cs="David" w:eastAsia="David" w:hAnsi="David"/>
          <w:sz w:val="20"/>
          <w:szCs w:val="20"/>
          <w:rtl/>
        </w:rPr>
        <w:t xml:space="preserve">לעיל ה"ש 13</w:t>
      </w:r>
      <w:r>
        <w:rPr>
          <w:rFonts w:ascii="David" w:cs="David" w:eastAsia="David" w:hAnsi="David"/>
          <w:sz w:val="20"/>
          <w:szCs w:val="20"/>
          <w:rtl/>
        </w:rPr>
        <w:t xml:space="preserve">.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78">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69</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42</w:t>
      </w:r>
      <w:r>
        <w:rPr>
          <w:rFonts w:ascii="David" w:cs="David" w:eastAsia="David" w:hAnsi="David"/>
          <w:sz w:val="20"/>
          <w:szCs w:val="20"/>
          <w:rtl/>
        </w:rPr>
        <w:t xml:space="preserve">.</w:t>
      </w:r>
    </w:p>
  </w:footnote>
  <w:footnote w:id="80">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81">
    <w:p>
      <w:pPr>
        <w:bidi/>
        <w:spacing w:after="60"/>
      </w:pPr>
      <w:r>
        <w:rPr>
          <w:rStyle w:val="FootnoteReference"/>
        </w:rPr>
        <w:footnoteRef/>
      </w:r>
      <w:r>
        <w:rPr>
          <w:rFonts w:ascii="David" w:cs="David" w:eastAsia="David" w:hAnsi="David"/>
          <w:sz w:val="20"/>
          <w:szCs w:val="20"/>
          <w:rtl/>
        </w:rPr>
        <w:t xml:space="preserve">לרקע התכנוני ראו שטרן, </w:t>
      </w:r>
      <w:r>
        <w:rPr>
          <w:rFonts w:ascii="David" w:cs="David" w:eastAsia="David" w:hAnsi="David"/>
          <w:sz w:val="20"/>
          <w:szCs w:val="20"/>
          <w:rtl/>
        </w:rPr>
        <w:t xml:space="preserve">לעיל ה"ש 19</w:t>
      </w:r>
      <w:r>
        <w:rPr>
          <w:rFonts w:ascii="David" w:cs="David" w:eastAsia="David" w:hAnsi="David"/>
          <w:sz w:val="20"/>
          <w:szCs w:val="20"/>
          <w:rtl/>
        </w:rPr>
        <w:t xml:space="preserve">, בעמ׳ 252–253; נאסר, </w:t>
      </w:r>
      <w:r>
        <w:rPr>
          <w:rFonts w:ascii="David" w:cs="David" w:eastAsia="David" w:hAnsi="David"/>
          <w:sz w:val="20"/>
          <w:szCs w:val="20"/>
          <w:rtl/>
        </w:rPr>
        <w:t xml:space="preserve">לעיל ה"ש 23</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71</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59</w:t>
      </w:r>
      <w:r>
        <w:rPr>
          <w:rFonts w:ascii="David" w:cs="David" w:eastAsia="David" w:hAnsi="David"/>
          <w:sz w:val="20"/>
          <w:szCs w:val="20"/>
          <w:rtl/>
        </w:rPr>
        <w:t xml:space="preserve">.</w:t>
      </w:r>
    </w:p>
  </w:footnote>
  <w:footnote w:id="8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49</w:t>
      </w:r>
      <w:r>
        <w:rPr>
          <w:rFonts w:ascii="David" w:cs="David" w:eastAsia="David" w:hAnsi="David"/>
          <w:sz w:val="20"/>
          <w:szCs w:val="20"/>
          <w:rtl/>
        </w:rPr>
        <w:t xml:space="preserve">.</w:t>
      </w:r>
    </w:p>
  </w:footnote>
  <w:footnote w:id="84">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85">
    <w:p>
      <w:pPr>
        <w:bidi/>
        <w:spacing w:after="60"/>
      </w:pPr>
      <w:r>
        <w:rPr>
          <w:rStyle w:val="FootnoteReference"/>
        </w:rPr>
        <w:footnoteRef/>
      </w:r>
      <w:r>
        <w:rPr>
          <w:rFonts w:ascii="David" w:cs="David" w:eastAsia="David" w:hAnsi="David"/>
          <w:sz w:val="20"/>
          <w:szCs w:val="20"/>
          <w:rtl/>
        </w:rPr>
        <w:t xml:space="preserve">ס׳ 325–326 לפקודת העיריות [נוסח חדש], המסדירים את חובת ההודעה על חדילת החזקה ועל חילופי מחזיקים.</w:t>
      </w:r>
    </w:p>
  </w:footnote>
  <w:footnote w:id="86">
    <w:p>
      <w:pPr>
        <w:bidi/>
        <w:spacing w:after="60"/>
      </w:pPr>
      <w:r>
        <w:rPr>
          <w:rStyle w:val="FootnoteReference"/>
        </w:rPr>
        <w:footnoteRef/>
      </w:r>
      <w:r>
        <w:rPr>
          <w:rFonts w:ascii="David" w:cs="David" w:eastAsia="David" w:hAnsi="David"/>
          <w:sz w:val="20"/>
          <w:szCs w:val="20"/>
          <w:rtl/>
        </w:rPr>
        <w:t xml:space="preserve">להבחנה בין רשות חינם לרישיון שנוצרה בגינו הסתמכות, ולמשקל ההשקעות שהשקיע המחזיק, ראו זלצמן, </w:t>
      </w:r>
      <w:r>
        <w:rPr>
          <w:rFonts w:ascii="David" w:cs="David" w:eastAsia="David" w:hAnsi="David"/>
          <w:sz w:val="20"/>
          <w:szCs w:val="20"/>
          <w:rtl/>
        </w:rPr>
        <w:t xml:space="preserve">לעיל ה"ש 57</w:t>
      </w:r>
      <w:r>
        <w:rPr>
          <w:rFonts w:ascii="David" w:cs="David" w:eastAsia="David" w:hAnsi="David"/>
          <w:sz w:val="20"/>
          <w:szCs w:val="20"/>
          <w:rtl/>
        </w:rPr>
        <w:t xml:space="preserve">; שקד, </w:t>
      </w:r>
      <w:r>
        <w:rPr>
          <w:rFonts w:ascii="David" w:cs="David" w:eastAsia="David" w:hAnsi="David"/>
          <w:sz w:val="20"/>
          <w:szCs w:val="20"/>
          <w:rtl/>
        </w:rPr>
        <w:t xml:space="preserve">לעיל ה"ש 26</w:t>
      </w:r>
      <w:r>
        <w:rPr>
          <w:rFonts w:ascii="David" w:cs="David" w:eastAsia="David" w:hAnsi="David"/>
          <w:sz w:val="20"/>
          <w:szCs w:val="20"/>
          <w:rtl/>
        </w:rPr>
        <w:t xml:space="preserve">, בעמ׳ 405–408.</w:t>
      </w:r>
    </w:p>
  </w:footnote>
  <w:footnote w:id="87">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36</w:t>
      </w:r>
      <w:r>
        <w:rPr>
          <w:rFonts w:ascii="David" w:cs="David" w:eastAsia="David" w:hAnsi="David"/>
          <w:sz w:val="20"/>
          <w:szCs w:val="20"/>
          <w:rtl/>
        </w:rPr>
        <w:t xml:space="preserve">; ולמשטר הבין זמני ראו לעיל פרק ג.3 וההפניות שם.</w:t>
      </w:r>
    </w:p>
  </w:footnote>
  <w:footnote w:id="88">
    <w:p>
      <w:pPr>
        <w:bidi/>
        <w:spacing w:after="60"/>
      </w:pPr>
      <w:r>
        <w:rPr>
          <w:rStyle w:val="FootnoteReference"/>
        </w:rPr>
        <w:footnoteRef/>
      </w:r>
      <w:r>
        <w:rPr>
          <w:rFonts w:ascii="David" w:cs="David" w:eastAsia="David" w:hAnsi="David"/>
          <w:sz w:val="20"/>
          <w:szCs w:val="20"/>
          <w:rtl/>
        </w:rPr>
        <w:t xml:space="preserve">להוכחת תוכנו של מסמך שאבד ולמשקל ההתנהגות בפועל בפרשנות עסקאות היסטוריות ראו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49</w:t>
      </w:r>
      <w:r>
        <w:rPr>
          <w:rFonts w:ascii="David" w:cs="David" w:eastAsia="David" w:hAnsi="David"/>
          <w:sz w:val="20"/>
          <w:szCs w:val="20"/>
          <w:rtl/>
        </w:rPr>
        <w:t xml:space="preserve">, שם הוכחה עסקה משנת 1968 שהסכמהּ לא אותר; והשוו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89">
    <w:p>
      <w:pPr>
        <w:bidi/>
        <w:spacing w:after="60"/>
      </w:pPr>
      <w:r>
        <w:rPr>
          <w:rStyle w:val="FootnoteReference"/>
        </w:rPr>
        <w:footnoteRef/>
      </w:r>
      <w:r>
        <w:rPr>
          <w:rFonts w:ascii="David" w:cs="David" w:eastAsia="David" w:hAnsi="David"/>
          <w:sz w:val="20"/>
          <w:szCs w:val="20"/>
          <w:rtl/>
        </w:rPr>
        <w:t xml:space="preserve">להתחמקות ההיסטורית מרישום ולתוצאותיה ראו לעיל פרק ב.1, וכן להלן פרק ו.3.4 והאסמכתאות שם.</w:t>
      </w:r>
    </w:p>
  </w:footnote>
  <w:footnote w:id="90">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17.9.2020) (החלטה).</w:t>
      </w:r>
    </w:p>
  </w:footnote>
  <w:footnote w:id="9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69</w:t>
      </w:r>
      <w:r>
        <w:rPr>
          <w:rFonts w:ascii="David" w:cs="David" w:eastAsia="David" w:hAnsi="David"/>
          <w:sz w:val="20"/>
          <w:szCs w:val="20"/>
          <w:rtl/>
        </w:rPr>
        <w:t xml:space="preserve">.</w:t>
      </w:r>
    </w:p>
  </w:footnote>
  <w:footnote w:id="92">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93">
    <w:p>
      <w:pPr>
        <w:bidi/>
        <w:spacing w:after="60"/>
      </w:pPr>
      <w:r>
        <w:rPr>
          <w:rStyle w:val="FootnoteReference"/>
        </w:rPr>
        <w:footnoteRef/>
      </w:r>
      <w:r>
        <w:rPr>
          <w:rFonts w:ascii="David" w:cs="David" w:eastAsia="David" w:hAnsi="David"/>
          <w:sz w:val="20"/>
          <w:szCs w:val="20"/>
          <w:rtl/>
        </w:rPr>
        <w:t xml:space="preserve">לחסר התכנוני והמנהלי ביישובים הערביים ראו שטרן, </w:t>
      </w:r>
      <w:r>
        <w:rPr>
          <w:rFonts w:ascii="David" w:cs="David" w:eastAsia="David" w:hAnsi="David"/>
          <w:sz w:val="20"/>
          <w:szCs w:val="20"/>
          <w:rtl/>
        </w:rPr>
        <w:t xml:space="preserve">לעיל ה"ש 19</w:t>
      </w:r>
      <w:r>
        <w:rPr>
          <w:rFonts w:ascii="David" w:cs="David" w:eastAsia="David" w:hAnsi="David"/>
          <w:sz w:val="20"/>
          <w:szCs w:val="20"/>
          <w:rtl/>
        </w:rPr>
        <w:t xml:space="preserve">, בעמ׳ 252–253; נאסר, </w:t>
      </w:r>
      <w:r>
        <w:rPr>
          <w:rFonts w:ascii="David" w:cs="David" w:eastAsia="David" w:hAnsi="David"/>
          <w:sz w:val="20"/>
          <w:szCs w:val="20"/>
          <w:rtl/>
        </w:rPr>
        <w:t xml:space="preserve">לעיל ה"ש 23</w:t>
      </w:r>
      <w:r>
        <w:rPr>
          <w:rFonts w:ascii="David" w:cs="David" w:eastAsia="David" w:hAnsi="David"/>
          <w:sz w:val="20"/>
          <w:szCs w:val="20"/>
          <w:rtl/>
        </w:rPr>
        <w:t xml:space="preserve">.</w:t>
      </w:r>
    </w:p>
  </w:footnote>
  <w:footnote w:id="94">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95">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94</w:t>
      </w:r>
      <w:r>
        <w:rPr>
          <w:rFonts w:ascii="David" w:cs="David" w:eastAsia="David" w:hAnsi="David"/>
          <w:sz w:val="20"/>
          <w:szCs w:val="20"/>
          <w:rtl/>
        </w:rPr>
        <w:t xml:space="preserve">, בעמ׳ 282.</w:t>
      </w:r>
    </w:p>
  </w:footnote>
  <w:footnote w:id="96">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97">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98">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ראו ס׳ 10 לתוספת השלישית לחוק התכנון והבנייה, התשכ"ה–1965.</w:t>
      </w:r>
    </w:p>
  </w:footnote>
  <w:footnote w:id="99">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94</w:t>
      </w:r>
      <w:r>
        <w:rPr>
          <w:rFonts w:ascii="David" w:cs="David" w:eastAsia="David" w:hAnsi="David"/>
          <w:sz w:val="20"/>
          <w:szCs w:val="20"/>
          <w:rtl/>
        </w:rPr>
        <w:t xml:space="preserve">, בעמ׳ 151.</w:t>
      </w:r>
    </w:p>
  </w:footnote>
  <w:footnote w:id="100">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w:t>
      </w:r>
      <w:r>
        <w:rPr>
          <w:rFonts w:ascii="David" w:cs="David" w:eastAsia="David" w:hAnsi="David"/>
          <w:i/>
          <w:iCs/>
          <w:sz w:val="20"/>
          <w:szCs w:val="20"/>
          <w:rtl/>
        </w:rPr>
        <w:t xml:space="preserve">מיסים</w:t>
      </w:r>
      <w:r>
        <w:rPr>
          <w:rFonts w:ascii="David" w:cs="David" w:eastAsia="David" w:hAnsi="David"/>
          <w:sz w:val="20"/>
          <w:szCs w:val="20"/>
          <w:rtl/>
        </w:rPr>
        <w:t xml:space="preserve"> כט/3 ה-320 (2015); גורמן ואהרונוביץ׳, </w:t>
      </w:r>
      <w:r>
        <w:rPr>
          <w:rFonts w:ascii="David" w:cs="David" w:eastAsia="David" w:hAnsi="David"/>
          <w:sz w:val="20"/>
          <w:szCs w:val="20"/>
          <w:rtl/>
        </w:rPr>
        <w:t xml:space="preserve">לעיל ה"ש 94</w:t>
      </w:r>
      <w:r>
        <w:rPr>
          <w:rFonts w:ascii="David" w:cs="David" w:eastAsia="David" w:hAnsi="David"/>
          <w:sz w:val="20"/>
          <w:szCs w:val="20"/>
          <w:rtl/>
        </w:rPr>
        <w:t xml:space="preserve">, בעמ׳ 153–154.</w:t>
      </w:r>
    </w:p>
  </w:footnote>
  <w:footnote w:id="101">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(התשס"ח) (הבעלים שביושר, שזכותו קדמה לחוק המקרקעין, זכאי לפיצוי אף שאינו רשום; והשוו שם לעניין ההרשאה המתחדשת כל שלוש שנים).</w:t>
      </w:r>
    </w:p>
  </w:footnote>
  <w:footnote w:id="102">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94</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94</w:t>
      </w:r>
      <w:r>
        <w:rPr>
          <w:rFonts w:ascii="David" w:cs="David" w:eastAsia="David" w:hAnsi="David"/>
          <w:sz w:val="20"/>
          <w:szCs w:val="20"/>
          <w:rtl/>
        </w:rPr>
        <w:t xml:space="preserve">, בעמ׳ 282–284, והפסיקה הנסקרת שם.</w:t>
      </w:r>
    </w:p>
  </w:footnote>
  <w:footnote w:id="104">
    <w:p>
      <w:pPr>
        <w:bidi/>
        <w:spacing w:after="60"/>
      </w:pPr>
      <w:r>
        <w:rPr>
          <w:rStyle w:val="FootnoteReference"/>
        </w:rPr>
        <w:footnoteRef/>
      </w:r>
      <w:r>
        <w:rPr>
          <w:rFonts w:ascii="David" w:cs="David" w:eastAsia="David" w:hAnsi="David"/>
          <w:sz w:val="20"/>
          <w:szCs w:val="20"/>
          <w:rtl/>
        </w:rPr>
        <w:t xml:space="preserve">להגדרת "מכירה" ולאירוע המס ראו ס׳ 1 ו-19 לחוק מיסוי מקרקעין; גורמן ואהרונוביץ׳, </w:t>
      </w:r>
      <w:r>
        <w:rPr>
          <w:rFonts w:ascii="David" w:cs="David" w:eastAsia="David" w:hAnsi="David"/>
          <w:sz w:val="20"/>
          <w:szCs w:val="20"/>
          <w:rtl/>
        </w:rPr>
        <w:t xml:space="preserve">לעיל ה"ש 94</w:t>
      </w:r>
      <w:r>
        <w:rPr>
          <w:rFonts w:ascii="David" w:cs="David" w:eastAsia="David" w:hAnsi="David"/>
          <w:sz w:val="20"/>
          <w:szCs w:val="20"/>
          <w:rtl/>
        </w:rPr>
        <w:t xml:space="preserve">, בעמ׳ 151–154.</w:t>
      </w:r>
    </w:p>
  </w:footnote>
  <w:footnote w:id="105">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95</w:t>
      </w:r>
      <w:r>
        <w:rPr>
          <w:rFonts w:ascii="David" w:cs="David" w:eastAsia="David" w:hAnsi="David"/>
          <w:sz w:val="20"/>
          <w:szCs w:val="20"/>
          <w:rtl/>
        </w:rPr>
        <w:t xml:space="preserve">.</w:t>
      </w:r>
    </w:p>
  </w:footnote>
  <w:footnote w:id="106">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mallCaps/>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107">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 שבו לא נזקפה ההתנהלות הבלתי פורמלית רבת-השנים לחובת הרוכשת.</w:t>
      </w:r>
    </w:p>
  </w:footnote>
  <w:footnote w:id="108">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בלא כל דרישת רישום,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w:t>
      </w:r>
      <w:r>
        <w:rPr>
          <w:rFonts w:ascii="David" w:cs="David" w:eastAsia="David" w:hAnsi="David"/>
          <w:i/>
          <w:iCs/>
          <w:sz w:val="20"/>
          <w:szCs w:val="20"/>
          <w:rtl/>
        </w:rPr>
        <w:t xml:space="preserve">כתר</w:t>
      </w:r>
      <w:r>
        <w:rPr>
          <w:rFonts w:ascii="David" w:cs="David" w:eastAsia="David" w:hAnsi="David"/>
          <w:sz w:val="20"/>
          <w:szCs w:val="20"/>
          <w:rtl/>
        </w:rPr>
        <w:t xml:space="preserve"> א 71–75 (התשנ"ו). מפאת קוצר היריעה לא יורחב הדיון בשיטה זו.</w:t>
      </w:r>
    </w:p>
  </w:footnote>
  <w:footnote w:id="109">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110">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111">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112">
    <w:p>
      <w:pPr>
        <w:bidi/>
        <w:spacing w:after="60"/>
      </w:pPr>
      <w:r>
        <w:rPr>
          <w:rStyle w:val="FootnoteReference"/>
        </w:rPr>
        <w:footnoteRef/>
      </w:r>
      <w:r>
        <w:rPr>
          <w:rFonts w:ascii="David" w:cs="David" w:eastAsia="David" w:hAnsi="David"/>
          <w:sz w:val="20"/>
          <w:szCs w:val="20"/>
          <w:rtl/>
        </w:rPr>
        <w:t xml:space="preserve">לתחולת הדוקטרינה ולסייגיה ראו </w:t>
      </w:r>
      <w:r>
        <w:rPr>
          <w:rFonts w:ascii="Times New Roman" w:cs="Times New Roman" w:eastAsia="Times New Roman" w:hAnsi="Times New Roman"/>
          <w:sz w:val="20"/>
          <w:szCs w:val="20"/>
        </w:rPr>
        <w:t xml:space="preserve">Lysaght v Edwards</w:t>
      </w:r>
      <w:r>
        <w:rPr>
          <w:rFonts w:ascii="David" w:cs="David" w:eastAsia="David" w:hAnsi="David"/>
          <w:sz w:val="20"/>
          <w:szCs w:val="20"/>
          <w:rtl/>
        </w:rPr>
        <w:t xml:space="preserve">, </w:t>
      </w:r>
      <w:r>
        <w:rPr>
          <w:rFonts w:ascii="David" w:cs="David" w:eastAsia="David" w:hAnsi="David"/>
          <w:sz w:val="20"/>
          <w:szCs w:val="20"/>
          <w:rtl/>
        </w:rPr>
        <w:t xml:space="preserve">לעיל ה"ש 109</w:t>
      </w:r>
      <w:r>
        <w:rPr>
          <w:rFonts w:ascii="David" w:cs="David" w:eastAsia="David" w:hAnsi="David"/>
          <w:sz w:val="20"/>
          <w:szCs w:val="20"/>
          <w:rtl/>
        </w:rPr>
        <w:t xml:space="preserve">; </w:t>
      </w:r>
      <w:r>
        <w:rPr>
          <w:rFonts w:ascii="Times New Roman" w:cs="Times New Roman" w:eastAsia="Times New Roman" w:hAnsi="Times New Roman"/>
          <w:sz w:val="20"/>
          <w:szCs w:val="20"/>
        </w:rPr>
        <w:t xml:space="preserve">Walsh v Lonsdale</w:t>
      </w:r>
      <w:r>
        <w:rPr>
          <w:rFonts w:ascii="David" w:cs="David" w:eastAsia="David" w:hAnsi="David"/>
          <w:sz w:val="20"/>
          <w:szCs w:val="20"/>
          <w:rtl/>
        </w:rPr>
        <w:t xml:space="preserve">, </w:t>
      </w:r>
      <w:r>
        <w:rPr>
          <w:rFonts w:ascii="David" w:cs="David" w:eastAsia="David" w:hAnsi="David"/>
          <w:sz w:val="20"/>
          <w:szCs w:val="20"/>
          <w:rtl/>
        </w:rPr>
        <w:t xml:space="preserve">לעיל ה"ש 110</w:t>
      </w:r>
      <w:r>
        <w:rPr>
          <w:rFonts w:ascii="David" w:cs="David" w:eastAsia="David" w:hAnsi="David"/>
          <w:sz w:val="20"/>
          <w:szCs w:val="20"/>
          <w:rtl/>
        </w:rPr>
        <w:t xml:space="preserve">. להשוואה עם הדין הישראלי, שאף בו תלויה הזכות שביושר בקיום החוזה מצד הרוכש, ראו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113">
    <w:p>
      <w:pPr>
        <w:bidi/>
        <w:spacing w:after="60"/>
      </w:pPr>
      <w:r>
        <w:rPr>
          <w:rStyle w:val="FootnoteReference"/>
        </w:rPr>
        <w:footnoteRef/>
      </w:r>
      <w:r>
        <w:rPr>
          <w:rFonts w:ascii="Times New Roman" w:cs="Times New Roman" w:eastAsia="Times New Roman" w:hAnsi="Times New Roman"/>
          <w:sz w:val="20"/>
          <w:szCs w:val="20"/>
        </w:rPr>
        <w:t xml:space="preserve">Land Registration Act 2002, c. 9, § 27</w:t>
      </w:r>
      <w:r>
        <w:rPr>
          <w:rFonts w:ascii="David" w:cs="David" w:eastAsia="David" w:hAnsi="David"/>
          <w:sz w:val="20"/>
          <w:szCs w:val="20"/>
          <w:rtl/>
        </w:rPr>
        <w:t xml:space="preserve">.</w:t>
      </w:r>
    </w:p>
  </w:footnote>
  <w:footnote w:id="114">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c. 9, sch. 3, para. 2</w:t>
      </w:r>
      <w:r>
        <w:rPr>
          <w:rFonts w:ascii="David" w:cs="David" w:eastAsia="David" w:hAnsi="David"/>
          <w:sz w:val="20"/>
          <w:szCs w:val="20"/>
          <w:rtl/>
        </w:rPr>
        <w:t xml:space="preserve">.</w:t>
      </w:r>
    </w:p>
  </w:footnote>
  <w:footnote w:id="115">
    <w:p>
      <w:pPr>
        <w:bidi/>
        <w:spacing w:after="60"/>
      </w:pPr>
      <w:r>
        <w:rPr>
          <w:rStyle w:val="FootnoteReference"/>
        </w:rPr>
        <w:footnoteRef/>
      </w:r>
      <w:r>
        <w:rPr>
          <w:rFonts w:ascii="David" w:cs="David" w:eastAsia="David" w:hAnsi="David"/>
          <w:sz w:val="20"/>
          <w:szCs w:val="20"/>
          <w:rtl/>
        </w:rPr>
        <w:t xml:space="preserve">לביקורת עדכנית ראו </w:t>
      </w:r>
      <w:r>
        <w:rPr>
          <w:rFonts w:ascii="Times New Roman" w:cs="Times New Roman" w:eastAsia="Times New Roman" w:hAnsi="Times New Roman"/>
          <w:sz w:val="20"/>
          <w:szCs w:val="20"/>
        </w:rPr>
        <w:t xml:space="preserve">Chris Bevan, </w:t>
      </w:r>
      <w:r>
        <w:rPr>
          <w:rFonts w:ascii="Times New Roman" w:cs="Times New Roman" w:eastAsia="Times New Roman" w:hAnsi="Times New Roman"/>
          <w:i/>
          <w:iCs/>
          <w:sz w:val="20"/>
          <w:szCs w:val="20"/>
        </w:rPr>
        <w:t xml:space="preserve">Overriding Interests under the Land Registration Act 2002: Time to Repair the ‘Cracked Mirror’?</w:t>
      </w:r>
      <w:r>
        <w:rPr>
          <w:rFonts w:ascii="Times New Roman" w:cs="Times New Roman" w:eastAsia="Times New Roman" w:hAnsi="Times New Roman"/>
          <w:sz w:val="20"/>
          <w:szCs w:val="20"/>
        </w:rPr>
        <w:t xml:space="preserve"> [2024] </w:t>
      </w:r>
      <w:r>
        <w:rPr>
          <w:rFonts w:ascii="Times New Roman" w:cs="Times New Roman" w:eastAsia="Times New Roman" w:hAnsi="Times New Roman"/>
          <w:smallCaps/>
          <w:sz w:val="20"/>
          <w:szCs w:val="20"/>
        </w:rPr>
        <w:t xml:space="preserve">Conv.</w:t>
      </w:r>
      <w:r>
        <w:rPr>
          <w:rFonts w:ascii="Times New Roman" w:cs="Times New Roman" w:eastAsia="Times New Roman" w:hAnsi="Times New Roman"/>
          <w:sz w:val="20"/>
          <w:szCs w:val="20"/>
        </w:rPr>
        <w:t xml:space="preserve"> 123</w:t>
      </w:r>
      <w:r>
        <w:rPr>
          <w:rFonts w:ascii="David" w:cs="David" w:eastAsia="David" w:hAnsi="David"/>
          <w:sz w:val="20"/>
          <w:szCs w:val="20"/>
          <w:rtl/>
        </w:rPr>
        <w:t xml:space="preserve">; ולהצעות הרפורמה ראו </w:t>
      </w:r>
      <w:r>
        <w:rPr>
          <w:rFonts w:ascii="Times New Roman" w:cs="Times New Roman" w:eastAsia="Times New Roman" w:hAnsi="Times New Roman"/>
          <w:sz w:val="20"/>
          <w:szCs w:val="20"/>
        </w:rPr>
        <w:t xml:space="preserve">Law Commission, </w:t>
      </w:r>
      <w:r>
        <w:rPr>
          <w:rFonts w:ascii="Times New Roman" w:cs="Times New Roman" w:eastAsia="Times New Roman" w:hAnsi="Times New Roman"/>
          <w:i/>
          <w:iCs/>
          <w:sz w:val="20"/>
          <w:szCs w:val="20"/>
        </w:rPr>
        <w:t xml:space="preserve">Updating the Land Registration Act 2002</w:t>
      </w:r>
      <w:r>
        <w:rPr>
          <w:rFonts w:ascii="Times New Roman" w:cs="Times New Roman" w:eastAsia="Times New Roman" w:hAnsi="Times New Roman"/>
          <w:sz w:val="20"/>
          <w:szCs w:val="20"/>
        </w:rPr>
        <w:t xml:space="preserve"> (Law Com. No. 380, 2018)</w:t>
      </w:r>
      <w:r>
        <w:rPr>
          <w:rFonts w:ascii="David" w:cs="David" w:eastAsia="David" w:hAnsi="David"/>
          <w:sz w:val="20"/>
          <w:szCs w:val="20"/>
          <w:rtl/>
        </w:rPr>
        <w:t xml:space="preserve">.</w:t>
      </w:r>
    </w:p>
  </w:footnote>
  <w:footnote w:id="116">
    <w:p>
      <w:pPr>
        <w:bidi/>
        <w:spacing w:after="60"/>
      </w:pPr>
      <w:r>
        <w:rPr>
          <w:rStyle w:val="FootnoteReference"/>
        </w:rPr>
        <w:footnoteRef/>
      </w:r>
      <w:r>
        <w:rPr>
          <w:rFonts w:ascii="David" w:cs="David" w:eastAsia="David" w:hAnsi="David"/>
          <w:sz w:val="20"/>
          <w:szCs w:val="20"/>
          <w:rtl/>
        </w:rPr>
        <w:t xml:space="preserve">להשוואה בין עקרונות המרשם ולמנגנון השיפוי ראו </w:t>
      </w:r>
      <w:r>
        <w:rPr>
          <w:rFonts w:ascii="Times New Roman" w:cs="Times New Roman" w:eastAsia="Times New Roman" w:hAnsi="Times New Roman"/>
          <w:sz w:val="20"/>
          <w:szCs w:val="20"/>
        </w:rPr>
        <w:t xml:space="preserve">Land Registration Act 2002, c. 9, sch. 8</w:t>
      </w:r>
      <w:r>
        <w:rPr>
          <w:rFonts w:ascii="David" w:cs="David" w:eastAsia="David" w:hAnsi="David"/>
          <w:sz w:val="20"/>
          <w:szCs w:val="20"/>
          <w:rtl/>
        </w:rPr>
        <w:t xml:space="preserve">; ולביקורת על היעדר מנגנון מקביל בישראל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w:t>
      </w:r>
    </w:p>
  </w:footnote>
  <w:footnote w:id="117">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118">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119">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w:t>
      </w:r>
      <w:r>
        <w:rPr>
          <w:rFonts w:ascii="Times New Roman" w:cs="Times New Roman" w:eastAsia="Times New Roman" w:hAnsi="Times New Roman"/>
          <w:i/>
          <w:iCs/>
          <w:sz w:val="20"/>
          <w:szCs w:val="20"/>
        </w:rPr>
        <w:t xml:space="preserve">Promises in Equity and at Law: Proprietary Estoppel after Guest v Guest</w:t>
      </w:r>
      <w:r>
        <w:rPr>
          <w:rFonts w:ascii="Times New Roman" w:cs="Times New Roman" w:eastAsia="Times New Roman" w:hAnsi="Times New Roman"/>
          <w:sz w:val="20"/>
          <w:szCs w:val="20"/>
        </w:rPr>
        <w:t xml:space="preserve">, (2023) 86 </w:t>
      </w:r>
      <w:r>
        <w:rPr>
          <w:rFonts w:ascii="Times New Roman" w:cs="Times New Roman" w:eastAsia="Times New Roman" w:hAnsi="Times New Roman"/>
          <w:smallCaps/>
          <w:sz w:val="20"/>
          <w:szCs w:val="20"/>
        </w:rPr>
        <w:t xml:space="preserve">MLR</w:t>
      </w:r>
      <w:r>
        <w:rPr>
          <w:rFonts w:ascii="Times New Roman" w:cs="Times New Roman" w:eastAsia="Times New Roman" w:hAnsi="Times New Roman"/>
          <w:sz w:val="20"/>
          <w:szCs w:val="20"/>
        </w:rPr>
        <w:t xml:space="preserve"> 1504; Brian Sloan, </w:t>
      </w:r>
      <w:r>
        <w:rPr>
          <w:rFonts w:ascii="Times New Roman" w:cs="Times New Roman" w:eastAsia="Times New Roman" w:hAnsi="Times New Roman"/>
          <w:i/>
          <w:iCs/>
          <w:sz w:val="20"/>
          <w:szCs w:val="20"/>
        </w:rPr>
        <w:t xml:space="preserve">Proprietary Estoppel in the Supreme Court: Banquo’s Ghost?</w:t>
      </w:r>
      <w:r>
        <w:rPr>
          <w:rFonts w:ascii="Times New Roman" w:cs="Times New Roman" w:eastAsia="Times New Roman" w:hAnsi="Times New Roman"/>
          <w:sz w:val="20"/>
          <w:szCs w:val="20"/>
        </w:rPr>
        <w:t xml:space="preserve">, (2023) 82 </w:t>
      </w:r>
      <w:r>
        <w:rPr>
          <w:rFonts w:ascii="Times New Roman" w:cs="Times New Roman" w:eastAsia="Times New Roman" w:hAnsi="Times New Roman"/>
          <w:smallCaps/>
          <w:sz w:val="20"/>
          <w:szCs w:val="20"/>
        </w:rPr>
        <w:t xml:space="preserve">CLJ</w:t>
      </w:r>
      <w:r>
        <w:rPr>
          <w:rFonts w:ascii="Times New Roman" w:cs="Times New Roman" w:eastAsia="Times New Roman" w:hAnsi="Times New Roman"/>
          <w:sz w:val="20"/>
          <w:szCs w:val="20"/>
        </w:rPr>
        <w:t xml:space="preserve"> 13</w:t>
      </w:r>
      <w:r>
        <w:rPr>
          <w:rFonts w:ascii="David" w:cs="David" w:eastAsia="David" w:hAnsi="David"/>
          <w:sz w:val="20"/>
          <w:szCs w:val="20"/>
          <w:rtl/>
        </w:rPr>
        <w:t xml:space="preserve">.</w:t>
      </w:r>
    </w:p>
  </w:footnote>
  <w:footnote w:id="120">
    <w:p>
      <w:pPr>
        <w:bidi/>
        <w:spacing w:after="60"/>
      </w:pPr>
      <w:r>
        <w:rPr>
          <w:rStyle w:val="FootnoteReference"/>
        </w:rPr>
        <w:footnoteRef/>
      </w:r>
      <w:r>
        <w:rPr>
          <w:rFonts w:ascii="David" w:cs="David" w:eastAsia="David" w:hAnsi="David"/>
          <w:sz w:val="20"/>
          <w:szCs w:val="20"/>
          <w:rtl/>
        </w:rPr>
        <w:t xml:space="preserve">ליסודות ההשתק ולגיוון הסעד ראו </w:t>
      </w:r>
      <w:r>
        <w:rPr>
          <w:rFonts w:ascii="Times New Roman" w:cs="Times New Roman" w:eastAsia="Times New Roman" w:hAnsi="Times New Roman"/>
          <w:sz w:val="20"/>
          <w:szCs w:val="20"/>
        </w:rPr>
        <w:t xml:space="preserve">Guest v Guest</w:t>
      </w:r>
      <w:r>
        <w:rPr>
          <w:rFonts w:ascii="David" w:cs="David" w:eastAsia="David" w:hAnsi="David"/>
          <w:sz w:val="20"/>
          <w:szCs w:val="20"/>
          <w:rtl/>
        </w:rPr>
        <w:t xml:space="preserve">, </w:t>
      </w:r>
      <w:r>
        <w:rPr>
          <w:rFonts w:ascii="David" w:cs="David" w:eastAsia="David" w:hAnsi="David"/>
          <w:sz w:val="20"/>
          <w:szCs w:val="20"/>
          <w:rtl/>
        </w:rPr>
        <w:t xml:space="preserve">לעיל ה"ש 119</w:t>
      </w:r>
      <w:r>
        <w:rPr>
          <w:rFonts w:ascii="David" w:cs="David" w:eastAsia="David" w:hAnsi="David"/>
          <w:sz w:val="20"/>
          <w:szCs w:val="20"/>
          <w:rtl/>
        </w:rPr>
        <w:t xml:space="preserve">; </w:t>
      </w:r>
      <w:r>
        <w:rPr>
          <w:rFonts w:ascii="Times New Roman" w:cs="Times New Roman" w:eastAsia="Times New Roman" w:hAnsi="Times New Roman"/>
          <w:sz w:val="20"/>
          <w:szCs w:val="20"/>
        </w:rPr>
        <w:t xml:space="preserve">Thorner v Major</w:t>
      </w:r>
      <w:r>
        <w:rPr>
          <w:rFonts w:ascii="David" w:cs="David" w:eastAsia="David" w:hAnsi="David"/>
          <w:sz w:val="20"/>
          <w:szCs w:val="20"/>
          <w:rtl/>
        </w:rPr>
        <w:t xml:space="preserve">, </w:t>
      </w:r>
      <w:r>
        <w:rPr>
          <w:rFonts w:ascii="David" w:cs="David" w:eastAsia="David" w:hAnsi="David"/>
          <w:sz w:val="20"/>
          <w:szCs w:val="20"/>
          <w:rtl/>
        </w:rPr>
        <w:t xml:space="preserve">לעיל ה"ש 118</w:t>
      </w:r>
      <w:r>
        <w:rPr>
          <w:rFonts w:ascii="David" w:cs="David" w:eastAsia="David" w:hAnsi="David"/>
          <w:sz w:val="20"/>
          <w:szCs w:val="20"/>
          <w:rtl/>
        </w:rPr>
        <w:t xml:space="preserve">; ולאבחנה בין הנאמנות המשתמעת להשתק ראו </w:t>
      </w:r>
      <w:r>
        <w:rPr>
          <w:rFonts w:ascii="Times New Roman" w:cs="Times New Roman" w:eastAsia="Times New Roman" w:hAnsi="Times New Roman"/>
          <w:sz w:val="20"/>
          <w:szCs w:val="20"/>
        </w:rPr>
        <w:t xml:space="preserve">Stack v Dowden</w:t>
      </w:r>
      <w:r>
        <w:rPr>
          <w:rFonts w:ascii="David" w:cs="David" w:eastAsia="David" w:hAnsi="David"/>
          <w:sz w:val="20"/>
          <w:szCs w:val="20"/>
          <w:rtl/>
        </w:rPr>
        <w:t xml:space="preserve">, </w:t>
      </w:r>
      <w:r>
        <w:rPr>
          <w:rFonts w:ascii="David" w:cs="David" w:eastAsia="David" w:hAnsi="David"/>
          <w:sz w:val="20"/>
          <w:szCs w:val="20"/>
          <w:rtl/>
        </w:rPr>
        <w:t xml:space="preserve">לעיל ה"ש 117</w:t>
      </w:r>
      <w:r>
        <w:rPr>
          <w:rFonts w:ascii="David" w:cs="David" w:eastAsia="David" w:hAnsi="David"/>
          <w:sz w:val="20"/>
          <w:szCs w:val="20"/>
          <w:rtl/>
        </w:rPr>
        <w:t xml:space="preserve">.</w:t>
      </w:r>
    </w:p>
  </w:footnote>
  <w:footnote w:id="12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c. 34, §§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50</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2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55</w:t>
      </w:r>
      <w:r>
        <w:rPr>
          <w:rFonts w:ascii="David" w:cs="David" w:eastAsia="David" w:hAnsi="David"/>
          <w:sz w:val="20"/>
          <w:szCs w:val="20"/>
          <w:rtl/>
        </w:rPr>
        <w:t xml:space="preserve">.</w:t>
      </w:r>
    </w:p>
  </w:footnote>
  <w:footnote w:id="123">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24">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25">
    <w:p>
      <w:pPr>
        <w:bidi/>
        <w:spacing w:after="60"/>
      </w:pPr>
      <w:r>
        <w:rPr>
          <w:rStyle w:val="FootnoteReference"/>
        </w:rPr>
        <w:footnoteRef/>
      </w:r>
      <w:r>
        <w:rPr>
          <w:rFonts w:ascii="Times New Roman" w:cs="Times New Roman" w:eastAsia="Times New Roman" w:hAnsi="Times New Roman"/>
          <w:sz w:val="20"/>
          <w:szCs w:val="20"/>
        </w:rPr>
        <w:t xml:space="preserve">Powers of Attorney Act 1971, c. 27, § 4</w:t>
      </w:r>
      <w:r>
        <w:rPr>
          <w:rFonts w:ascii="David" w:cs="David" w:eastAsia="David" w:hAnsi="David"/>
          <w:sz w:val="20"/>
          <w:szCs w:val="20"/>
          <w:rtl/>
        </w:rPr>
        <w:t xml:space="preserve">. זהו המקור ההיסטורי של ס׳ 14(ב) לחוק השליחות הישראלי.</w:t>
      </w:r>
    </w:p>
  </w:footnote>
  <w:footnote w:id="126">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37</w:t>
      </w:r>
      <w:r>
        <w:rPr>
          <w:rFonts w:ascii="David" w:cs="David" w:eastAsia="David" w:hAnsi="David"/>
          <w:sz w:val="20"/>
          <w:szCs w:val="20"/>
          <w:rtl/>
        </w:rPr>
        <w:t xml:space="preserve">, בעמ׳ 1243.</w:t>
      </w:r>
    </w:p>
  </w:footnote>
  <w:footnote w:id="127">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t>
      </w:r>
      <w:r>
        <w:rPr>
          <w:rFonts w:ascii="Times New Roman" w:cs="Times New Roman" w:eastAsia="Times New Roman" w:hAnsi="Times New Roman"/>
          <w:i/>
          <w:iCs/>
          <w:sz w:val="20"/>
          <w:szCs w:val="20"/>
        </w:rPr>
        <w:t xml:space="preserve">Who Needs Adverse Possession?</w:t>
      </w:r>
      <w:r>
        <w:rPr>
          <w:rFonts w:ascii="Times New Roman" w:cs="Times New Roman" w:eastAsia="Times New Roman" w:hAnsi="Times New Roman"/>
          <w:sz w:val="20"/>
          <w:szCs w:val="20"/>
        </w:rPr>
        <w:t xml:space="preserve">, 89 </w:t>
      </w:r>
      <w:r>
        <w:rPr>
          <w:rFonts w:ascii="Times New Roman" w:cs="Times New Roman" w:eastAsia="Times New Roman" w:hAnsi="Times New Roman"/>
          <w:smallCaps/>
          <w:sz w:val="20"/>
          <w:szCs w:val="20"/>
        </w:rPr>
        <w:t xml:space="preserve">Fordham L. Rev.</w:t>
      </w:r>
      <w:r>
        <w:rPr>
          <w:rFonts w:ascii="Times New Roman" w:cs="Times New Roman" w:eastAsia="Times New Roman" w:hAnsi="Times New Roman"/>
          <w:sz w:val="20"/>
          <w:szCs w:val="20"/>
        </w:rPr>
        <w:t xml:space="preserve"> 2639 (2021)</w:t>
      </w:r>
      <w:r>
        <w:rPr>
          <w:rFonts w:ascii="David" w:cs="David" w:eastAsia="David" w:hAnsi="David"/>
          <w:sz w:val="20"/>
          <w:szCs w:val="20"/>
          <w:rtl/>
        </w:rPr>
        <w:t xml:space="preserve">.</w:t>
      </w:r>
    </w:p>
  </w:footnote>
  <w:footnote w:id="128">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29">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30">
    <w:p>
      <w:pPr>
        <w:bidi/>
        <w:spacing w:after="60"/>
      </w:pPr>
      <w:r>
        <w:rPr>
          <w:rStyle w:val="FootnoteReference"/>
        </w:rPr>
        <w:footnoteRef/>
      </w:r>
      <w:r>
        <w:rPr>
          <w:rFonts w:ascii="Times New Roman" w:cs="Times New Roman" w:eastAsia="Times New Roman" w:hAnsi="Times New Roman"/>
          <w:i/>
          <w:iCs/>
          <w:sz w:val="20"/>
          <w:szCs w:val="20"/>
        </w:rPr>
        <w:t xml:space="preserve">More than 90% of Egypt’s Properties Are Unregistered: Justice Minister</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(Feb. 14, 2022); </w:t>
      </w:r>
      <w:r>
        <w:rPr>
          <w:rFonts w:ascii="Times New Roman" w:cs="Times New Roman" w:eastAsia="Times New Roman" w:hAnsi="Times New Roman"/>
          <w:i/>
          <w:iCs/>
          <w:sz w:val="20"/>
          <w:szCs w:val="20"/>
        </w:rPr>
        <w:t xml:space="preserve">Egypt’s Property Registration Rate Remains Below 10%…: World Bank</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106</w:t>
      </w:r>
      <w:r>
        <w:rPr>
          <w:rFonts w:ascii="David" w:cs="David" w:eastAsia="David" w:hAnsi="David"/>
          <w:sz w:val="20"/>
          <w:szCs w:val="20"/>
          <w:rtl/>
        </w:rPr>
        <w:t xml:space="preserve">.</w:t>
      </w:r>
    </w:p>
  </w:footnote>
  <w:footnote w:id="131">
    <w:p>
      <w:pPr>
        <w:bidi/>
        <w:spacing w:after="60"/>
      </w:pPr>
      <w:r>
        <w:rPr>
          <w:rStyle w:val="FootnoteReference"/>
        </w:rPr>
        <w:footnoteRef/>
      </w:r>
      <w:r>
        <w:rPr>
          <w:rFonts w:ascii="David" w:cs="David" w:eastAsia="David" w:hAnsi="David"/>
          <w:sz w:val="20"/>
          <w:szCs w:val="20"/>
          <w:rtl/>
        </w:rPr>
        <w:t xml:space="preserve">לניתוח הגורמים ראו </w:t>
      </w:r>
      <w:r>
        <w:rPr>
          <w:rFonts w:ascii="Times New Roman" w:cs="Times New Roman" w:eastAsia="Times New Roman" w:hAnsi="Times New Roman"/>
          <w:sz w:val="20"/>
          <w:szCs w:val="20"/>
        </w:rPr>
        <w:t xml:space="preserve">David Sims, </w:t>
      </w:r>
      <w:r>
        <w:rPr>
          <w:rFonts w:ascii="Times New Roman" w:cs="Times New Roman" w:eastAsia="Times New Roman" w:hAnsi="Times New Roman"/>
          <w:i/>
          <w:iCs/>
          <w:sz w:val="20"/>
          <w:szCs w:val="20"/>
        </w:rPr>
        <w:t xml:space="preserve">Securing Land Tenure in Egypt: Who Needs Registered Titles?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(June 14, 2016)</w:t>
      </w:r>
      <w:r>
        <w:rPr>
          <w:rFonts w:ascii="David" w:cs="David" w:eastAsia="David" w:hAnsi="David"/>
          <w:sz w:val="20"/>
          <w:szCs w:val="20"/>
          <w:rtl/>
        </w:rPr>
        <w:t xml:space="preserve">.</w:t>
      </w:r>
    </w:p>
  </w:footnote>
  <w:footnote w:id="132">
    <w:p>
      <w:pPr>
        <w:bidi/>
        <w:spacing w:after="60"/>
      </w:pPr>
      <w:r>
        <w:rPr>
          <w:rStyle w:val="FootnoteReference"/>
        </w:rPr>
        <w:footnoteRef/>
      </w:r>
      <w:r>
        <w:rPr>
          <w:rFonts w:ascii="David" w:cs="David" w:eastAsia="David" w:hAnsi="David"/>
          <w:sz w:val="20"/>
          <w:szCs w:val="20"/>
          <w:rtl/>
        </w:rPr>
        <w:t xml:space="preserve">לשתי שיטות הרישום ראו ס׳ 9 לחוק מס׳ 114 לשנת 1946 וחוק מס׳ 142 לשנת 1964, </w:t>
      </w:r>
      <w:r>
        <w:rPr>
          <w:rFonts w:ascii="David" w:cs="David" w:eastAsia="David" w:hAnsi="David"/>
          <w:sz w:val="20"/>
          <w:szCs w:val="20"/>
          <w:rtl/>
        </w:rPr>
        <w:t xml:space="preserve">לעיל ה"ש 129</w:t>
      </w:r>
      <w:r>
        <w:rPr>
          <w:rFonts w:ascii="David" w:cs="David" w:eastAsia="David" w:hAnsi="David"/>
          <w:sz w:val="20"/>
          <w:szCs w:val="20"/>
          <w:rtl/>
        </w:rPr>
        <w:t xml:space="preserve">; ולתיאור המצב בפועל ראו </w:t>
      </w:r>
      <w:r>
        <w:rPr>
          <w:rFonts w:ascii="Times New Roman" w:cs="Times New Roman" w:eastAsia="Times New Roman" w:hAnsi="Times New Roman"/>
          <w:sz w:val="20"/>
          <w:szCs w:val="20"/>
        </w:rPr>
        <w:t xml:space="preserve">Sims</w:t>
      </w:r>
      <w:r>
        <w:rPr>
          <w:rFonts w:ascii="David" w:cs="David" w:eastAsia="David" w:hAnsi="David"/>
          <w:sz w:val="20"/>
          <w:szCs w:val="20"/>
          <w:rtl/>
        </w:rPr>
        <w:t xml:space="preserve">, </w:t>
      </w:r>
      <w:r>
        <w:rPr>
          <w:rFonts w:ascii="David" w:cs="David" w:eastAsia="David" w:hAnsi="David"/>
          <w:sz w:val="20"/>
          <w:szCs w:val="20"/>
          <w:rtl/>
        </w:rPr>
        <w:t xml:space="preserve">לעיל ה"ש 131</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נקודת תורפה מרכזית של הפרקטיקה, שפסיקת בית המשפט לקסאציה בעניינה אינה אחידה.</w:t>
      </w:r>
    </w:p>
  </w:footnote>
  <w:footnote w:id="134">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Sims</w:t>
      </w:r>
      <w:r>
        <w:rPr>
          <w:rFonts w:ascii="David" w:cs="David" w:eastAsia="David" w:hAnsi="David"/>
          <w:sz w:val="20"/>
          <w:szCs w:val="20"/>
          <w:rtl/>
        </w:rPr>
        <w:t xml:space="preserve">, </w:t>
      </w:r>
      <w:r>
        <w:rPr>
          <w:rFonts w:ascii="David" w:cs="David" w:eastAsia="David" w:hAnsi="David"/>
          <w:sz w:val="20"/>
          <w:szCs w:val="20"/>
          <w:rtl/>
        </w:rPr>
        <w:t xml:space="preserve">לעיל ה"ש 131</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ס׳ 714 לקוד האזרחי המצרי, </w:t>
      </w:r>
      <w:r>
        <w:rPr>
          <w:rFonts w:ascii="David" w:cs="David" w:eastAsia="David" w:hAnsi="David"/>
          <w:sz w:val="20"/>
          <w:szCs w:val="20"/>
          <w:rtl/>
        </w:rPr>
        <w:t xml:space="preserve">לעיל ה"ש 133</w:t>
      </w:r>
      <w:r>
        <w:rPr>
          <w:rFonts w:ascii="David" w:cs="David" w:eastAsia="David" w:hAnsi="David"/>
          <w:sz w:val="20"/>
          <w:szCs w:val="20"/>
          <w:rtl/>
        </w:rPr>
        <w:t xml:space="preserve">, לעניין פקיעת השליחות במות השולח; ולתיאור התופעה ראו </w:t>
      </w:r>
      <w:r>
        <w:rPr>
          <w:rFonts w:ascii="Times New Roman" w:cs="Times New Roman" w:eastAsia="Times New Roman" w:hAnsi="Times New Roman"/>
          <w:sz w:val="20"/>
          <w:szCs w:val="20"/>
        </w:rPr>
        <w:t xml:space="preserve">Sims</w:t>
      </w:r>
      <w:r>
        <w:rPr>
          <w:rFonts w:ascii="David" w:cs="David" w:eastAsia="David" w:hAnsi="David"/>
          <w:sz w:val="20"/>
          <w:szCs w:val="20"/>
          <w:rtl/>
        </w:rPr>
        <w:t xml:space="preserve">, </w:t>
      </w:r>
      <w:r>
        <w:rPr>
          <w:rFonts w:ascii="David" w:cs="David" w:eastAsia="David" w:hAnsi="David"/>
          <w:sz w:val="20"/>
          <w:szCs w:val="20"/>
          <w:rtl/>
        </w:rPr>
        <w:t xml:space="preserve">לעיל ה"ש 131</w:t>
      </w:r>
      <w:r>
        <w:rPr>
          <w:rFonts w:ascii="David" w:cs="David" w:eastAsia="David" w:hAnsi="David"/>
          <w:sz w:val="20"/>
          <w:szCs w:val="20"/>
          <w:rtl/>
        </w:rPr>
        <w:t xml:space="preserve">.</w:t>
      </w:r>
    </w:p>
  </w:footnote>
  <w:footnote w:id="136">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ההחזקה בפועל כמקור קניין.</w:t>
      </w:r>
    </w:p>
  </w:footnote>
  <w:footnote w:id="137">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38">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39">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127</w:t>
      </w:r>
      <w:r>
        <w:rPr>
          <w:rFonts w:ascii="David" w:cs="David" w:eastAsia="David" w:hAnsi="David"/>
          <w:sz w:val="20"/>
          <w:szCs w:val="20"/>
          <w:rtl/>
        </w:rPr>
        <w:t xml:space="preserve">. ודוק: בישראל נחסם מסלול זה כמעט כליל: ס׳ 159(ב) לחוק המקרקעין שלל התיישנות במקרקעין מוסדרים, וחזקתו של בן משפחה מסווגת כ"חזקה מרשות"; ראו לעיל פרק ג.6.</w:t>
      </w:r>
    </w:p>
  </w:footnote>
  <w:footnote w:id="140">
    <w:p>
      <w:pPr>
        <w:bidi/>
        <w:spacing w:after="60"/>
      </w:pPr>
      <w:r>
        <w:rPr>
          <w:rStyle w:val="FootnoteReference"/>
        </w:rPr>
        <w:footnoteRef/>
      </w:r>
      <w:r>
        <w:rPr>
          <w:rFonts w:ascii="David" w:cs="David" w:eastAsia="David" w:hAnsi="David"/>
          <w:sz w:val="20"/>
          <w:szCs w:val="20"/>
          <w:rtl/>
        </w:rPr>
        <w:t xml:space="preserve">ס׳ 968–969 לקוד האזרחי המצרי, </w:t>
      </w:r>
      <w:r>
        <w:rPr>
          <w:rFonts w:ascii="David" w:cs="David" w:eastAsia="David" w:hAnsi="David"/>
          <w:sz w:val="20"/>
          <w:szCs w:val="20"/>
          <w:rtl/>
        </w:rPr>
        <w:t xml:space="preserve">לעיל ה"ש 136</w:t>
      </w:r>
      <w:r>
        <w:rPr>
          <w:rFonts w:ascii="David" w:cs="David" w:eastAsia="David" w:hAnsi="David"/>
          <w:sz w:val="20"/>
          <w:szCs w:val="20"/>
          <w:rtl/>
        </w:rPr>
        <w:t xml:space="preserve">; ולאופייה הדיוני של ההתיישנות הישראלית ראו ס׳ 2 לחוק ההתיישנות, התשי"ח–1958, וכן חבקין, </w:t>
      </w:r>
      <w:r>
        <w:rPr>
          <w:rFonts w:ascii="David" w:cs="David" w:eastAsia="David" w:hAnsi="David"/>
          <w:sz w:val="20"/>
          <w:szCs w:val="20"/>
          <w:rtl/>
        </w:rPr>
        <w:t xml:space="preserve">לעיל ה"ש 65</w:t>
      </w:r>
      <w:r>
        <w:rPr>
          <w:rFonts w:ascii="David" w:cs="David" w:eastAsia="David" w:hAnsi="David"/>
          <w:sz w:val="20"/>
          <w:szCs w:val="20"/>
          <w:rtl/>
        </w:rPr>
        <w:t xml:space="preserve">.</w:t>
      </w:r>
    </w:p>
  </w:footnote>
  <w:footnote w:id="141">
    <w:p>
      <w:pPr>
        <w:bidi/>
        <w:spacing w:after="60"/>
      </w:pPr>
      <w:r>
        <w:rPr>
          <w:rStyle w:val="FootnoteReference"/>
        </w:rPr>
        <w:footnoteRef/>
      </w:r>
      <w:r>
        <w:rPr>
          <w:rFonts w:ascii="Times New Roman" w:cs="Times New Roman" w:eastAsia="Times New Roman" w:hAnsi="Times New Roman"/>
          <w:i/>
          <w:iCs/>
          <w:sz w:val="20"/>
          <w:szCs w:val="20"/>
        </w:rPr>
        <w:t xml:space="preserve">Sisi Orders Delaying Implementation of Controversial Real Estate Law for 2 Years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Ahram Online</w:t>
      </w:r>
      <w:r>
        <w:rPr>
          <w:rFonts w:ascii="Times New Roman" w:cs="Times New Roman" w:eastAsia="Times New Roman" w:hAnsi="Times New Roman"/>
          <w:sz w:val="20"/>
          <w:szCs w:val="20"/>
        </w:rPr>
        <w:t xml:space="preserve"> (Feb. 28, 2021); </w:t>
      </w:r>
      <w:r>
        <w:rPr>
          <w:rFonts w:ascii="Times New Roman" w:cs="Times New Roman" w:eastAsia="Times New Roman" w:hAnsi="Times New Roman"/>
          <w:i/>
          <w:iCs/>
          <w:sz w:val="20"/>
          <w:szCs w:val="20"/>
        </w:rPr>
        <w:t xml:space="preserve">‘Unjust’: Egypt’s Property Registration Plans Face Popular Backlash</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Middle East Eye</w:t>
      </w:r>
      <w:r>
        <w:rPr>
          <w:rFonts w:ascii="Times New Roman" w:cs="Times New Roman" w:eastAsia="Times New Roman" w:hAnsi="Times New Roman"/>
          <w:sz w:val="20"/>
          <w:szCs w:val="20"/>
        </w:rPr>
        <w:t xml:space="preserve"> (2021)</w:t>
      </w:r>
      <w:r>
        <w:rPr>
          <w:rFonts w:ascii="David" w:cs="David" w:eastAsia="David" w:hAnsi="David"/>
          <w:sz w:val="20"/>
          <w:szCs w:val="20"/>
          <w:rtl/>
        </w:rPr>
        <w:t xml:space="preserve">. לניתוח מדיניות ראו </w:t>
      </w:r>
      <w:r>
        <w:rPr>
          <w:rFonts w:ascii="Times New Roman" w:cs="Times New Roman" w:eastAsia="Times New Roman" w:hAnsi="Times New Roman"/>
          <w:i/>
          <w:iCs/>
          <w:sz w:val="20"/>
          <w:szCs w:val="20"/>
        </w:rPr>
        <w:t xml:space="preserve">Real Estate Registration Law Amendments – Development Brief</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The Built Environment Observatory</w:t>
      </w:r>
      <w:r>
        <w:rPr>
          <w:rFonts w:ascii="Times New Roman" w:cs="Times New Roman" w:eastAsia="Times New Roman" w:hAnsi="Times New Roman"/>
          <w:sz w:val="20"/>
          <w:szCs w:val="20"/>
        </w:rPr>
        <w:t xml:space="preserve"> (May 2021)</w:t>
      </w:r>
      <w:r>
        <w:rPr>
          <w:rFonts w:ascii="David" w:cs="David" w:eastAsia="David" w:hAnsi="David"/>
          <w:sz w:val="20"/>
          <w:szCs w:val="20"/>
          <w:rtl/>
        </w:rPr>
        <w:t xml:space="preserve">.</w:t>
      </w:r>
    </w:p>
  </w:footnote>
  <w:footnote w:id="142">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w:t>
      </w:r>
      <w:r>
        <w:rPr>
          <w:rFonts w:ascii="Times New Roman" w:cs="Times New Roman" w:eastAsia="Times New Roman" w:hAnsi="Times New Roman"/>
          <w:i/>
          <w:iCs/>
          <w:sz w:val="20"/>
          <w:szCs w:val="20"/>
        </w:rPr>
        <w:t xml:space="preserve">New Amendments to Real Estate Registration Law</w:t>
      </w:r>
      <w:r>
        <w:rPr>
          <w:rFonts w:ascii="Times New Roman" w:cs="Times New Roman" w:eastAsia="Times New Roman" w:hAnsi="Times New Roman"/>
          <w:sz w:val="20"/>
          <w:szCs w:val="20"/>
        </w:rPr>
        <w:t xml:space="preserve"> (2022)</w:t>
      </w:r>
      <w:r>
        <w:rPr>
          <w:rFonts w:ascii="David" w:cs="David" w:eastAsia="David" w:hAnsi="David"/>
          <w:sz w:val="20"/>
          <w:szCs w:val="20"/>
          <w:rtl/>
        </w:rPr>
        <w:t xml:space="preserve">.</w:t>
      </w:r>
    </w:p>
  </w:footnote>
  <w:footnote w:id="143">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חוק מס׳ 71 לשנת 1946.</w:t>
      </w:r>
    </w:p>
  </w:footnote>
  <w:footnote w:id="144">
    <w:p>
      <w:pPr>
        <w:bidi/>
        <w:spacing w:after="60"/>
      </w:pPr>
      <w:r>
        <w:rPr>
          <w:rStyle w:val="FootnoteReference"/>
        </w:rPr>
        <w:footnoteRef/>
      </w:r>
      <w:r>
        <w:rPr>
          <w:rFonts w:ascii="David" w:cs="David" w:eastAsia="David" w:hAnsi="David"/>
          <w:sz w:val="20"/>
          <w:szCs w:val="20"/>
          <w:rtl/>
        </w:rPr>
        <w:t xml:space="preserve">חוק מס׳ 9 לשנת 2022, </w:t>
      </w:r>
      <w:r>
        <w:rPr>
          <w:rFonts w:ascii="David" w:cs="David" w:eastAsia="David" w:hAnsi="David"/>
          <w:sz w:val="20"/>
          <w:szCs w:val="20"/>
          <w:rtl/>
        </w:rPr>
        <w:t xml:space="preserve">לעיל ה"ש 142</w:t>
      </w:r>
      <w:r>
        <w:rPr>
          <w:rFonts w:ascii="David" w:cs="David" w:eastAsia="David" w:hAnsi="David"/>
          <w:sz w:val="20"/>
          <w:szCs w:val="20"/>
          <w:rtl/>
        </w:rPr>
        <w:t xml:space="preserve">; ולתגובת הציבור לניסיון הכפייה ראו </w:t>
      </w:r>
      <w:r>
        <w:rPr>
          <w:rFonts w:ascii="David" w:cs="David" w:eastAsia="David" w:hAnsi="David"/>
          <w:sz w:val="20"/>
          <w:szCs w:val="20"/>
          <w:rtl/>
        </w:rPr>
        <w:t xml:space="preserve">לעיל ה"ש 141</w:t>
      </w:r>
      <w:r>
        <w:rPr>
          <w:rFonts w:ascii="David" w:cs="David" w:eastAsia="David" w:hAnsi="David"/>
          <w:sz w:val="20"/>
          <w:szCs w:val="20"/>
          <w:rtl/>
        </w:rPr>
        <w:t xml:space="preserve">. להערכה מסויגת של רפורמות רישום כפתרון כולל ראו </w:t>
      </w:r>
      <w:r>
        <w:rPr>
          <w:rFonts w:ascii="Times New Roman" w:cs="Times New Roman" w:eastAsia="Times New Roman" w:hAnsi="Times New Roman"/>
          <w:sz w:val="20"/>
          <w:szCs w:val="20"/>
        </w:rPr>
        <w:t xml:space="preserve">Kareem Ibrahim &amp; Deena Khalil, </w:t>
      </w:r>
      <w:r>
        <w:rPr>
          <w:rFonts w:ascii="Times New Roman" w:cs="Times New Roman" w:eastAsia="Times New Roman" w:hAnsi="Times New Roman"/>
          <w:i/>
          <w:iCs/>
          <w:sz w:val="20"/>
          <w:szCs w:val="20"/>
        </w:rPr>
        <w:t xml:space="preserve">Land Titling: A Tool, not a Panacea</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(Dec. 20, 2016)</w:t>
      </w:r>
      <w:r>
        <w:rPr>
          <w:rFonts w:ascii="David" w:cs="David" w:eastAsia="David" w:hAnsi="David"/>
          <w:sz w:val="20"/>
          <w:szCs w:val="20"/>
          <w:rtl/>
        </w:rPr>
        <w:t xml:space="preserve">.</w:t>
      </w:r>
    </w:p>
  </w:footnote>
  <w:footnote w:id="145">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mallCaps/>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46">
    <w:p>
      <w:pPr>
        <w:bidi/>
        <w:spacing w:after="60"/>
      </w:pPr>
      <w:r>
        <w:rPr>
          <w:rStyle w:val="FootnoteReference"/>
        </w:rPr>
        <w:footnoteRef/>
      </w:r>
      <w:r>
        <w:rPr>
          <w:rFonts w:ascii="David" w:cs="David" w:eastAsia="David" w:hAnsi="David"/>
          <w:sz w:val="20"/>
          <w:szCs w:val="20"/>
          <w:rtl/>
        </w:rPr>
        <w:t xml:space="preserve">חוק לביטול המג׳לה, התשמ"ד–1984; ולחלותה על עסקאות שקדמו לחקיקה המחליפה ראו ראבילו, </w:t>
      </w:r>
      <w:r>
        <w:rPr>
          <w:rFonts w:ascii="David" w:cs="David" w:eastAsia="David" w:hAnsi="David"/>
          <w:sz w:val="20"/>
          <w:szCs w:val="20"/>
          <w:rtl/>
        </w:rPr>
        <w:t xml:space="preserve">לעיל ה"ש 50</w:t>
      </w:r>
      <w:r>
        <w:rPr>
          <w:rFonts w:ascii="David" w:cs="David" w:eastAsia="David" w:hAnsi="David"/>
          <w:sz w:val="20"/>
          <w:szCs w:val="20"/>
          <w:rtl/>
        </w:rPr>
        <w:t xml:space="preserve">, בעמ׳ 333–337, וכן לעיל פרק ג.3 לעניין ס׳ 80 לחוק הפרוצדורה האזרחית העות׳מאני.</w:t>
      </w:r>
    </w:p>
  </w:footnote>
  <w:footnote w:id="147">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mallCaps/>
          <w:sz w:val="20"/>
          <w:szCs w:val="20"/>
        </w:rPr>
        <w:t xml:space="preserve">Joseph Schacht, An Introduction to Islamic Law (1964)</w:t>
      </w:r>
      <w:r>
        <w:rPr>
          <w:rFonts w:ascii="Times New Roman" w:cs="Times New Roman" w:eastAsia="Times New Roman" w:hAnsi="Times New Roman"/>
          <w:sz w:val="20"/>
          <w:szCs w:val="20"/>
        </w:rPr>
        <w:t xml:space="preserve">; Y. Linant de Bellefonds, </w:t>
      </w:r>
      <w:r>
        <w:rPr>
          <w:rFonts w:ascii="Times New Roman" w:cs="Times New Roman" w:eastAsia="Times New Roman" w:hAnsi="Times New Roman"/>
          <w:i/>
          <w:iCs/>
          <w:sz w:val="20"/>
          <w:szCs w:val="20"/>
        </w:rPr>
        <w:t xml:space="preserve">Hiba</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The Encyclopaedia of Islam</w:t>
      </w:r>
      <w:r>
        <w:rPr>
          <w:rFonts w:ascii="Times New Roman" w:cs="Times New Roman" w:eastAsia="Times New Roman" w:hAnsi="Times New Roman"/>
          <w:sz w:val="20"/>
          <w:szCs w:val="20"/>
        </w:rPr>
        <w:t xml:space="preserve"> (2d ed.)</w:t>
      </w:r>
      <w:r>
        <w:rPr>
          <w:rFonts w:ascii="David" w:cs="David" w:eastAsia="David" w:hAnsi="David"/>
          <w:sz w:val="20"/>
          <w:szCs w:val="20"/>
          <w:rtl/>
        </w:rPr>
        <w:t xml:space="preserve">.</w:t>
      </w:r>
    </w:p>
  </w:footnote>
  <w:footnote w:id="148">
    <w:p>
      <w:pPr>
        <w:bidi/>
        <w:spacing w:after="60"/>
      </w:pPr>
      <w:r>
        <w:rPr>
          <w:rStyle w:val="FootnoteReference"/>
        </w:rPr>
        <w:footnoteRef/>
      </w:r>
      <w:r>
        <w:rPr>
          <w:rFonts w:ascii="David" w:cs="David" w:eastAsia="David" w:hAnsi="David"/>
          <w:sz w:val="20"/>
          <w:szCs w:val="20"/>
          <w:rtl/>
        </w:rPr>
        <w:t xml:space="preserve">ס׳ 866 למג׳לה; וכן ס׳ 872, שלפיו מות אחד הצדדים חוסם את החזרה.</w:t>
      </w:r>
    </w:p>
  </w:footnote>
  <w:footnote w:id="149">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w:t>
      </w:r>
      <w:r>
        <w:rPr>
          <w:rFonts w:ascii="Times New Roman" w:cs="Times New Roman" w:eastAsia="Times New Roman" w:hAnsi="Times New Roman"/>
          <w:i/>
          <w:iCs/>
          <w:sz w:val="20"/>
          <w:szCs w:val="20"/>
        </w:rPr>
        <w:t xml:space="preserve">Ownership Status of Hibah Marad al-Mawt</w:t>
      </w:r>
      <w:r>
        <w:rPr>
          <w:rFonts w:ascii="Times New Roman" w:cs="Times New Roman" w:eastAsia="Times New Roman" w:hAnsi="Times New Roman"/>
          <w:sz w:val="20"/>
          <w:szCs w:val="20"/>
        </w:rPr>
        <w:t xml:space="preserve">, 34(8) </w:t>
      </w:r>
      <w:r>
        <w:rPr>
          <w:rFonts w:ascii="Times New Roman" w:cs="Times New Roman" w:eastAsia="Times New Roman" w:hAnsi="Times New Roman"/>
          <w:smallCaps/>
          <w:sz w:val="20"/>
          <w:szCs w:val="20"/>
        </w:rPr>
        <w:t xml:space="preserve">al-Qanatir Int’l J. Islamic Stud.</w:t>
      </w:r>
      <w:r>
        <w:rPr>
          <w:rFonts w:ascii="Times New Roman" w:cs="Times New Roman" w:eastAsia="Times New Roman" w:hAnsi="Times New Roman"/>
          <w:sz w:val="20"/>
          <w:szCs w:val="20"/>
        </w:rPr>
        <w:t xml:space="preserve"> (2025)</w:t>
      </w:r>
      <w:r>
        <w:rPr>
          <w:rFonts w:ascii="David" w:cs="David" w:eastAsia="David" w:hAnsi="David"/>
          <w:sz w:val="20"/>
          <w:szCs w:val="20"/>
          <w:rtl/>
        </w:rPr>
        <w:t xml:space="preserve">.</w:t>
      </w:r>
    </w:p>
  </w:footnote>
  <w:footnote w:id="150">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50</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w:t>
      </w:r>
      <w:r>
        <w:rPr>
          <w:rFonts w:ascii="Times New Roman" w:cs="Times New Roman" w:eastAsia="Times New Roman" w:hAnsi="Times New Roman"/>
          <w:i/>
          <w:iCs/>
          <w:sz w:val="20"/>
          <w:szCs w:val="20"/>
        </w:rPr>
        <w:t xml:space="preserve">The Gift Law, 1968</w:t>
      </w:r>
      <w:r>
        <w:rPr>
          <w:rFonts w:ascii="Times New Roman" w:cs="Times New Roman" w:eastAsia="Times New Roman" w:hAnsi="Times New Roman"/>
          <w:sz w:val="20"/>
          <w:szCs w:val="20"/>
        </w:rPr>
        <w:t xml:space="preserve">, 4 </w:t>
      </w:r>
      <w:r>
        <w:rPr>
          <w:rFonts w:ascii="Times New Roman" w:cs="Times New Roman" w:eastAsia="Times New Roman" w:hAnsi="Times New Roman"/>
          <w:smallCaps/>
          <w:sz w:val="20"/>
          <w:szCs w:val="20"/>
        </w:rPr>
        <w:t xml:space="preserve">Isr. L. Rev.</w:t>
      </w:r>
      <w:r>
        <w:rPr>
          <w:rFonts w:ascii="Times New Roman" w:cs="Times New Roman" w:eastAsia="Times New Roman" w:hAnsi="Times New Roman"/>
          <w:sz w:val="20"/>
          <w:szCs w:val="20"/>
        </w:rPr>
        <w:t xml:space="preserve"> 260 (1969)</w:t>
      </w:r>
      <w:r>
        <w:rPr>
          <w:rFonts w:ascii="David" w:cs="David" w:eastAsia="David" w:hAnsi="David"/>
          <w:sz w:val="20"/>
          <w:szCs w:val="20"/>
          <w:rtl/>
        </w:rPr>
        <w:t xml:space="preserve">, על החלפת דיני ההִבָּה של המג׳לה בחוק המתנה הישראלי.</w:t>
      </w:r>
    </w:p>
  </w:footnote>
  <w:footnote w:id="151">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36 שנים, ס׳ 1661).</w:t>
      </w:r>
    </w:p>
  </w:footnote>
  <w:footnote w:id="152">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53">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w:t>
      </w:r>
      <w:r>
        <w:rPr>
          <w:rFonts w:ascii="Times New Roman" w:cs="Times New Roman" w:eastAsia="Times New Roman" w:hAnsi="Times New Roman"/>
          <w:i/>
          <w:iCs/>
          <w:sz w:val="20"/>
          <w:szCs w:val="20"/>
        </w:rPr>
        <w:t xml:space="preserve">Dispossession by Law: How the Israeli Judicial System Utilizes Ottoman Land Law to Expel and Dispossess the Bedouins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J. Levantine Stud.</w:t>
      </w:r>
      <w:r>
        <w:rPr>
          <w:rFonts w:ascii="Times New Roman" w:cs="Times New Roman" w:eastAsia="Times New Roman" w:hAnsi="Times New Roman"/>
          <w:sz w:val="20"/>
          <w:szCs w:val="20"/>
        </w:rPr>
        <w:t xml:space="preserve">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5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49</w:t>
      </w:r>
      <w:r>
        <w:rPr>
          <w:rFonts w:ascii="David" w:cs="David" w:eastAsia="David" w:hAnsi="David"/>
          <w:sz w:val="20"/>
          <w:szCs w:val="20"/>
          <w:rtl/>
        </w:rPr>
        <w:t xml:space="preserve">.</w:t>
      </w:r>
    </w:p>
  </w:footnote>
  <w:footnote w:id="155">
    <w:p>
      <w:pPr>
        <w:bidi/>
        <w:spacing w:after="60"/>
      </w:pPr>
      <w:r>
        <w:rPr>
          <w:rStyle w:val="FootnoteReference"/>
        </w:rPr>
        <w:footnoteRef/>
      </w:r>
      <w:r>
        <w:rPr>
          <w:rFonts w:ascii="David" w:cs="David" w:eastAsia="David" w:hAnsi="David"/>
          <w:sz w:val="20"/>
          <w:szCs w:val="20"/>
          <w:rtl/>
        </w:rPr>
        <w:t xml:space="preserve">לפגיעתם של הסדרים בלתי פורמליים בזכויות נשים ראו </w:t>
      </w:r>
      <w:r>
        <w:rPr>
          <w:rFonts w:ascii="Times New Roman" w:cs="Times New Roman" w:eastAsia="Times New Roman" w:hAnsi="Times New Roman"/>
          <w:sz w:val="20"/>
          <w:szCs w:val="20"/>
        </w:rPr>
        <w:t xml:space="preserve">Moors</w:t>
      </w:r>
      <w:r>
        <w:rPr>
          <w:rFonts w:ascii="David" w:cs="David" w:eastAsia="David" w:hAnsi="David"/>
          <w:sz w:val="20"/>
          <w:szCs w:val="20"/>
          <w:rtl/>
        </w:rPr>
        <w:t xml:space="preserve">, להלן פרק ו.3.4 והאסמכתאות שם; ולביקורת על ראיית הרישום הפורמלי כפתרון כולל ראו </w:t>
      </w:r>
      <w:r>
        <w:rPr>
          <w:rFonts w:ascii="Times New Roman" w:cs="Times New Roman" w:eastAsia="Times New Roman" w:hAnsi="Times New Roman"/>
          <w:sz w:val="20"/>
          <w:szCs w:val="20"/>
        </w:rPr>
        <w:t xml:space="preserve">Ibrahim &amp; Khalil</w:t>
      </w:r>
      <w:r>
        <w:rPr>
          <w:rFonts w:ascii="David" w:cs="David" w:eastAsia="David" w:hAnsi="David"/>
          <w:sz w:val="20"/>
          <w:szCs w:val="20"/>
          <w:rtl/>
        </w:rPr>
        <w:t xml:space="preserve">, לעיל פרק ו.2.4.</w:t>
      </w:r>
    </w:p>
  </w:footnote>
  <w:footnote w:id="156">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57">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37</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58">
    <w:p>
      <w:pPr>
        <w:bidi/>
        <w:spacing w:after="60"/>
      </w:pPr>
      <w:r>
        <w:rPr>
          <w:rStyle w:val="FootnoteReference"/>
        </w:rPr>
        <w:footnoteRef/>
      </w:r>
      <w:r>
        <w:rPr>
          <w:rFonts w:ascii="Times New Roman" w:cs="Times New Roman" w:eastAsia="Times New Roman" w:hAnsi="Times New Roman"/>
          <w:smallCaps/>
          <w:sz w:val="20"/>
          <w:szCs w:val="20"/>
        </w:rPr>
        <w:t xml:space="preserve">N.J. Coulson, Succession in the Muslim Family (1971)</w:t>
      </w:r>
      <w:r>
        <w:rPr>
          <w:rFonts w:ascii="David" w:cs="David" w:eastAsia="David" w:hAnsi="David"/>
          <w:sz w:val="20"/>
          <w:szCs w:val="20"/>
          <w:rtl/>
        </w:rPr>
        <w:t xml:space="preserve">.</w:t>
      </w:r>
    </w:p>
  </w:footnote>
  <w:footnote w:id="159">
    <w:p>
      <w:pPr>
        <w:bidi/>
        <w:spacing w:after="60"/>
      </w:pPr>
      <w:r>
        <w:rPr>
          <w:rStyle w:val="FootnoteReference"/>
        </w:rPr>
        <w:footnoteRef/>
      </w:r>
      <w:r>
        <w:rPr>
          <w:rFonts w:ascii="Times New Roman" w:cs="Times New Roman" w:eastAsia="Times New Roman" w:hAnsi="Times New Roman"/>
          <w:smallCaps/>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mallCaps/>
          <w:sz w:val="20"/>
          <w:szCs w:val="20"/>
        </w:rPr>
        <w:t xml:space="preserve">Aharon Layish, Women and Islamic Law in a Non-Muslim State (1975)</w:t>
      </w:r>
      <w:r>
        <w:rPr>
          <w:rFonts w:ascii="David" w:cs="David" w:eastAsia="David" w:hAnsi="David"/>
          <w:sz w:val="20"/>
          <w:szCs w:val="20"/>
          <w:rtl/>
        </w:rPr>
        <w:t xml:space="preserve">.</w:t>
      </w:r>
    </w:p>
  </w:footnote>
  <w:footnote w:id="160">
    <w:p>
      <w:pPr>
        <w:bidi/>
        <w:spacing w:after="60"/>
      </w:pPr>
      <w:r>
        <w:rPr>
          <w:rStyle w:val="FootnoteReference"/>
        </w:rPr>
        <w:footnoteRef/>
      </w:r>
      <w:r>
        <w:rPr>
          <w:rFonts w:ascii="Times New Roman" w:cs="Times New Roman" w:eastAsia="Times New Roman" w:hAnsi="Times New Roman"/>
          <w:sz w:val="20"/>
          <w:szCs w:val="20"/>
        </w:rPr>
        <w:t xml:space="preserve">Ruth Kark, </w:t>
      </w:r>
      <w:r>
        <w:rPr>
          <w:rFonts w:ascii="Times New Roman" w:cs="Times New Roman" w:eastAsia="Times New Roman" w:hAnsi="Times New Roman"/>
          <w:i/>
          <w:iCs/>
          <w:sz w:val="20"/>
          <w:szCs w:val="20"/>
        </w:rPr>
        <w:t xml:space="preserve">Consequences of the Ottoman Land Law: Agrarian and Privatization Processes in Palestine, 1858–1918</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Societies, Social Inequalities and Marginalization</w:t>
      </w:r>
      <w:r>
        <w:rPr>
          <w:rFonts w:ascii="Times New Roman" w:cs="Times New Roman" w:eastAsia="Times New Roman" w:hAnsi="Times New Roman"/>
          <w:sz w:val="20"/>
          <w:szCs w:val="20"/>
        </w:rPr>
        <w:t xml:space="preserve">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17</w:t>
      </w:r>
      <w:r>
        <w:rPr>
          <w:rFonts w:ascii="David" w:cs="David" w:eastAsia="David" w:hAnsi="David"/>
          <w:sz w:val="20"/>
          <w:szCs w:val="20"/>
          <w:rtl/>
        </w:rPr>
        <w:t xml:space="preserve">.</w:t>
      </w:r>
    </w:p>
  </w:footnote>
  <w:footnote w:id="161">
    <w:p>
      <w:pPr>
        <w:bidi/>
        <w:spacing w:after="60"/>
      </w:pPr>
      <w:r>
        <w:rPr>
          <w:rStyle w:val="FootnoteReference"/>
        </w:rPr>
        <w:footnoteRef/>
      </w:r>
      <w:r>
        <w:rPr>
          <w:rFonts w:ascii="David" w:cs="David" w:eastAsia="David" w:hAnsi="David"/>
          <w:sz w:val="20"/>
          <w:szCs w:val="20"/>
          <w:rtl/>
        </w:rPr>
        <w:t xml:space="preserve">לתפקידו של הווקף המשפחתי בשימור קרקע המשפחה ולהשלכותיו על זכויות נשים ראו </w:t>
      </w:r>
      <w:r>
        <w:rPr>
          <w:rFonts w:ascii="Times New Roman" w:cs="Times New Roman" w:eastAsia="Times New Roman" w:hAnsi="Times New Roman"/>
          <w:sz w:val="20"/>
          <w:szCs w:val="20"/>
        </w:rPr>
        <w:t xml:space="preserve">Moors</w:t>
      </w:r>
      <w:r>
        <w:rPr>
          <w:rFonts w:ascii="David" w:cs="David" w:eastAsia="David" w:hAnsi="David"/>
          <w:sz w:val="20"/>
          <w:szCs w:val="20"/>
          <w:rtl/>
        </w:rPr>
        <w:t xml:space="preserve">, </w:t>
      </w:r>
      <w:r>
        <w:rPr>
          <w:rFonts w:ascii="David" w:cs="David" w:eastAsia="David" w:hAnsi="David"/>
          <w:sz w:val="20"/>
          <w:szCs w:val="20"/>
          <w:rtl/>
        </w:rPr>
        <w:t xml:space="preserve">לעיל ה"ש 159</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Layish</w:t>
      </w:r>
      <w:r>
        <w:rPr>
          <w:rFonts w:ascii="David" w:cs="David" w:eastAsia="David" w:hAnsi="David"/>
          <w:sz w:val="20"/>
          <w:szCs w:val="20"/>
          <w:rtl/>
        </w:rPr>
        <w:t xml:space="preserve">, שם.</w:t>
      </w:r>
    </w:p>
  </w:footnote>
  <w:footnote w:id="162">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w:t>
      </w:r>
      <w:r>
        <w:rPr>
          <w:rFonts w:ascii="Times New Roman" w:cs="Times New Roman" w:eastAsia="Times New Roman" w:hAnsi="Times New Roman"/>
          <w:i/>
          <w:iCs/>
          <w:sz w:val="20"/>
          <w:szCs w:val="20"/>
        </w:rPr>
        <w:t xml:space="preserve">Land Titling: A Tool, not a Panacea — Insights from Egypt</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(Dec. 20, 2016)</w:t>
      </w:r>
      <w:r>
        <w:rPr>
          <w:rFonts w:ascii="David" w:cs="David" w:eastAsia="David" w:hAnsi="David"/>
          <w:sz w:val="20"/>
          <w:szCs w:val="20"/>
          <w:rtl/>
        </w:rPr>
        <w:t xml:space="preserve">.</w:t>
      </w:r>
    </w:p>
  </w:footnote>
  <w:footnote w:id="16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16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49</w:t>
      </w:r>
      <w:r>
        <w:rPr>
          <w:rFonts w:ascii="David" w:cs="David" w:eastAsia="David" w:hAnsi="David"/>
          <w:sz w:val="20"/>
          <w:szCs w:val="20"/>
          <w:rtl/>
        </w:rPr>
        <w:t xml:space="preserve">.</w:t>
      </w:r>
    </w:p>
  </w:footnote>
  <w:footnote w:id="165">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54</w:t>
      </w:r>
      <w:r>
        <w:rPr>
          <w:rFonts w:ascii="David" w:cs="David" w:eastAsia="David" w:hAnsi="David"/>
          <w:sz w:val="20"/>
          <w:szCs w:val="20"/>
          <w:rtl/>
        </w:rPr>
        <w:t xml:space="preserve">.</w:t>
      </w:r>
    </w:p>
  </w:footnote>
  <w:footnote w:id="166">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119</w:t>
      </w:r>
      <w:r>
        <w:rPr>
          <w:rFonts w:ascii="David" w:cs="David" w:eastAsia="David" w:hAnsi="David"/>
          <w:sz w:val="20"/>
          <w:szCs w:val="20"/>
          <w:rtl/>
        </w:rPr>
        <w:t xml:space="preserve">.</w:t>
      </w:r>
    </w:p>
  </w:footnote>
  <w:footnote w:id="167">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68">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2026-09-01T13:17:18.521Z</dcterms:created>
  <dcterms:modified xsi:type="dcterms:W3CDTF">2026-09-01T13:17:18.521Z</dcterms:modified>
</cp:coreProperties>
</file>

<file path=docProps/custom.xml><?xml version="1.0" encoding="utf-8"?>
<Properties xmlns="http://schemas.openxmlformats.org/officeDocument/2006/custom-properties" xmlns:vt="http://schemas.openxmlformats.org/officeDocument/2006/docPropsVTypes"/>
</file>