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יש לזכור את הגבול: מקום שהדין החל מתנה את השלמת ההקניה ברישום, נפסק כי מסמך מתנה, מסירת חזקה ואף בנייה על הקרקע אינם משלימים את ההעברה, והזכויות נותרות בידי המקנה ועוברות במותו ליורשיו.</w:t>
      </w:r>
      <w:r>
        <w:rPr>
          <w:rStyle w:val="FootnoteReference"/>
        </w:rPr>
        <w:footnoteReference w:id="36"/>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7"/>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8"/>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9"/>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0"/>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1"/>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2"/>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ממצאים בדבר עסקת מכר במקרקעין בלתי רשומים שהתבססו על עדות ישירה, הודאות בעלי דין, החזקה ממושכת וראיות נסיבתיות;</w:t>
      </w:r>
      <w:r>
        <w:rPr>
          <w:rStyle w:val="FootnoteReference"/>
        </w:rPr>
        <w:footnoteReference w:id="43"/>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4"/>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5"/>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46"/>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47"/>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48"/>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49"/>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0"/>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1"/>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2"/>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3"/>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54"/>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55"/>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56"/>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57"/>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1"/>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3"/>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64"/>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65"/>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66"/>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67"/>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68"/>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9"/>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0"/>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1"/>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2"/>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73"/>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74"/>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75"/>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76"/>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7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78"/>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9"/>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0"/>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1"/>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82"/>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83"/>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84"/>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85"/>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86"/>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87"/>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88"/>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9"/>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0"/>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91"/>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92"/>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93"/>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94"/>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95"/>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96"/>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97"/>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98"/>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9"/>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0"/>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01"/>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02"/>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03"/>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0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05"/>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06"/>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0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08"/>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09"/>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10"/>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11"/>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12"/>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13"/>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w:t>
      </w:r>
    </w:p>
  </w:footnote>
  <w:footnote w:id="37">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8">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9">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0">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1">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2">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41</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38</w:t>
      </w:r>
      <w:r>
        <w:rPr>
          <w:rFonts w:ascii="David" w:cs="David" w:eastAsia="David" w:hAnsi="David"/>
          <w:sz w:val="20"/>
          <w:szCs w:val="20"/>
          <w:rtl/>
        </w:rPr>
        <w:t xml:space="preserve">, לעניין היחס בין רישיון לחזקה.</w:t>
      </w:r>
    </w:p>
  </w:footnote>
  <w:footnote w:id="43">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w:t>
      </w:r>
    </w:p>
  </w:footnote>
  <w:footnote w:id="44">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44</w:t>
      </w:r>
      <w:r>
        <w:rPr>
          <w:rFonts w:ascii="David" w:cs="David" w:eastAsia="David" w:hAnsi="David"/>
          <w:sz w:val="20"/>
          <w:szCs w:val="20"/>
          <w:rtl/>
        </w:rPr>
        <w:t xml:space="preserve">, בעמ׳ 3–4 לפסק הדין.</w:t>
      </w:r>
    </w:p>
  </w:footnote>
  <w:footnote w:id="46">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7">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48">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49">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0">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w:t>
      </w:r>
    </w:p>
  </w:footnote>
  <w:footnote w:id="51">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52">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3">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46</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54">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55">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56">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17.9.2020), שבו נדחתה תביעה משפחתית להעברת זכויות מכוח מתנה נטענת נוכח השיהוי, היעדר הרישום, שינויי הגרסה ואי-עמידה בנטל השכנוע הכבד הנדרש נגד עיזבון.</w:t>
      </w:r>
    </w:p>
  </w:footnote>
  <w:footnote w:id="5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 בעמ׳ 282.</w:t>
      </w:r>
    </w:p>
  </w:footnote>
  <w:footnote w:id="6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 בעמ׳ 151.</w:t>
      </w:r>
    </w:p>
  </w:footnote>
  <w:footnote w:id="6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 בעמ׳ 153–154.</w:t>
      </w:r>
    </w:p>
  </w:footnote>
  <w:footnote w:id="65">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66">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58</w:t>
      </w:r>
      <w:r>
        <w:rPr>
          <w:rFonts w:ascii="David" w:cs="David" w:eastAsia="David" w:hAnsi="David"/>
          <w:sz w:val="20"/>
          <w:szCs w:val="20"/>
          <w:rtl/>
        </w:rPr>
        <w:t xml:space="preserve">, בעמ׳ 282–284, והפסיקה הנסקרת שם.</w:t>
      </w:r>
    </w:p>
  </w:footnote>
  <w:footnote w:id="67">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59</w:t>
      </w:r>
      <w:r>
        <w:rPr>
          <w:rFonts w:ascii="David" w:cs="David" w:eastAsia="David" w:hAnsi="David"/>
          <w:sz w:val="20"/>
          <w:szCs w:val="20"/>
          <w:rtl/>
        </w:rPr>
        <w:t xml:space="preserve">.</w:t>
      </w:r>
    </w:p>
  </w:footnote>
  <w:footnote w:id="68">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9">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2">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76">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9">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82">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83">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84">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85">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68</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88">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0">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91">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92">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83</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93">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95">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96">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97">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98">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9">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01">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02">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03">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07">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08">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10">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11">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78</w:t>
      </w:r>
      <w:r>
        <w:rPr>
          <w:rFonts w:ascii="David" w:cs="David" w:eastAsia="David" w:hAnsi="David"/>
          <w:sz w:val="20"/>
          <w:szCs w:val="20"/>
          <w:rtl/>
        </w:rPr>
        <w:t xml:space="preserve">.</w:t>
      </w:r>
    </w:p>
  </w:footnote>
  <w:footnote w:id="112">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13">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2026-08-28T08:06:08.422Z</dcterms:created>
  <dcterms:modified xsi:type="dcterms:W3CDTF">2026-08-28T08:06:08.422Z</dcterms:modified>
</cp:coreProperties>
</file>

<file path=docProps/custom.xml><?xml version="1.0" encoding="utf-8"?>
<Properties xmlns="http://schemas.openxmlformats.org/officeDocument/2006/custom-properties" xmlns:vt="http://schemas.openxmlformats.org/officeDocument/2006/docPropsVTypes"/>
</file>