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120" w:line="360"/>
        <w:jc w:val="center"/>
      </w:pPr>
      <w:r>
        <w:rPr>
          <w:rFonts w:ascii="David" w:cs="David" w:eastAsia="David" w:hAnsi="David"/>
          <w:b/>
          <w:bCs/>
          <w:color w:val="000000"/>
          <w:sz w:val="36"/>
          <w:szCs w:val="36"/>
          <w:rtl/>
        </w:rPr>
        <w:t xml:space="preserve">הקריה האקדמית אונו</w:t>
      </w:r>
    </w:p>
    <w:p>
      <w:pPr>
        <w:bidi/>
        <w:spacing w:after="120" w:line="360"/>
        <w:jc w:val="center"/>
      </w:pPr>
      <w:r>
        <w:rPr>
          <w:rFonts w:ascii="David" w:cs="David" w:eastAsia="David" w:hAnsi="David"/>
          <w:color w:val="000000"/>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400"/>
      </w:pPr>
    </w:p>
    <w:p>
      <w:pPr>
        <w:bidi/>
        <w:spacing w:after="80" w:line="360"/>
        <w:jc w:val="center"/>
      </w:pPr>
      <w:r>
        <w:rPr>
          <w:rFonts w:ascii="David" w:cs="David" w:eastAsia="David" w:hAnsi="David"/>
          <w:b/>
          <w:bCs/>
          <w:color w:val="000000"/>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00000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000000"/>
          <w:sz w:val="22"/>
          <w:szCs w:val="22"/>
          <w:rtl/>
        </w:rPr>
        <w:t xml:space="preserve">מאמר משלים:</w:t>
      </w:r>
    </w:p>
    <w:p>
      <w:pPr>
        <w:spacing w:after="120"/>
        <w:jc w:val="center"/>
      </w:pPr>
      <w:r>
        <w:rPr>
          <w:rFonts w:ascii="Times New Roman" w:cs="Times New Roman" w:eastAsia="Times New Roman" w:hAnsi="Times New Roman"/>
          <w:i/>
          <w:iCs/>
          <w:color w:val="00000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000000"/>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pPr>
            <w:pStyle w:val="TOC1"/>
            <w:tabs>
              <w:tab w:val="left" w:leader="dot" w:pos="8800"/>
            </w:tabs>
            <w:bidi/>
            <w:spacing w:line="300" w:lineRule="auto" w:after="40"/>
            <w:ind w:left="0" w:right="0"/>
          </w:pPr>
          <w:r>
            <w:rPr>
              <w:rFonts w:ascii="David" w:hAnsi="David" w:cs="David"/>
              <w:sz w:val="24"/>
              <w:szCs w:val="24"/>
              <w:rtl/>
            </w:rPr>
            <w:t xml:space="preserve">מבוא</w:t>
          </w:r>
          <w:r>
            <w:rPr>
              <w:rFonts w:ascii="David" w:hAnsi="David" w:cs="David"/>
              <w:sz w:val="24"/>
              <w:szCs w:val="24"/>
              <w:rtl/>
            </w:rPr>
            <w:tab/>
            <w:t>4</w:t>
          </w:r>
        </w:p>
        <w:p>
          <w:pPr>
            <w:pStyle w:val="TOC1"/>
            <w:tabs>
              <w:tab w:val="left" w:leader="dot" w:pos="8800"/>
            </w:tabs>
            <w:bidi/>
            <w:spacing w:line="300" w:lineRule="auto" w:after="40"/>
            <w:ind w:left="0" w:right="0"/>
          </w:pPr>
          <w:r>
            <w:rPr>
              <w:rFonts w:ascii="David" w:hAnsi="David" w:cs="David"/>
              <w:sz w:val="24"/>
              <w:szCs w:val="24"/>
              <w:rtl/>
            </w:rPr>
            <w:t xml:space="preserve">פרק 1: הצגת המאמר המרכזי</w:t>
          </w:r>
          <w:r>
            <w:rPr>
              <w:rFonts w:ascii="David" w:hAnsi="David" w:cs="David"/>
              <w:sz w:val="24"/>
              <w:szCs w:val="24"/>
              <w:rtl/>
            </w:rPr>
            <w:tab/>
            <w:t>6</w:t>
          </w:r>
        </w:p>
        <w:p>
          <w:pPr>
            <w:pStyle w:val="TOC2"/>
            <w:tabs>
              <w:tab w:val="left" w:leader="dot" w:pos="8800"/>
            </w:tabs>
            <w:bidi/>
            <w:spacing w:line="300" w:lineRule="auto" w:after="40"/>
            <w:ind w:left="0" w:right="400"/>
          </w:pPr>
          <w:r>
            <w:rPr>
              <w:rFonts w:ascii="David" w:hAnsi="David" w:cs="David"/>
              <w:sz w:val="24"/>
              <w:szCs w:val="24"/>
              <w:rtl/>
            </w:rPr>
            <w:t xml:space="preserve">1.1 פרטי המאמר</w:t>
          </w:r>
          <w:r>
            <w:rPr>
              <w:rFonts w:ascii="David" w:hAnsi="David" w:cs="David"/>
              <w:sz w:val="24"/>
              <w:szCs w:val="24"/>
              <w:rtl/>
            </w:rPr>
            <w:tab/>
            <w:t>6</w:t>
          </w:r>
        </w:p>
        <w:p>
          <w:pPr>
            <w:pStyle w:val="TOC2"/>
            <w:tabs>
              <w:tab w:val="left" w:leader="dot" w:pos="8800"/>
            </w:tabs>
            <w:bidi/>
            <w:spacing w:line="300" w:lineRule="auto" w:after="40"/>
            <w:ind w:left="0" w:right="400"/>
          </w:pPr>
          <w:r>
            <w:rPr>
              <w:rFonts w:ascii="David" w:hAnsi="David" w:cs="David"/>
              <w:sz w:val="24"/>
              <w:szCs w:val="24"/>
              <w:rtl/>
            </w:rPr>
            <w:t xml:space="preserve">1.2 רקע ומטרות המאמר</w:t>
          </w:r>
          <w:r>
            <w:rPr>
              <w:rFonts w:ascii="David" w:hAnsi="David" w:cs="David"/>
              <w:sz w:val="24"/>
              <w:szCs w:val="24"/>
              <w:rtl/>
            </w:rPr>
            <w:tab/>
            <w:t>6</w:t>
          </w:r>
        </w:p>
        <w:p>
          <w:pPr>
            <w:pStyle w:val="TOC1"/>
            <w:tabs>
              <w:tab w:val="left" w:leader="dot" w:pos="8800"/>
            </w:tabs>
            <w:bidi/>
            <w:spacing w:line="300" w:lineRule="auto" w:after="40"/>
            <w:ind w:left="0" w:right="0"/>
          </w:pPr>
          <w:r>
            <w:rPr>
              <w:rFonts w:ascii="David" w:hAnsi="David" w:cs="David"/>
              <w:sz w:val="24"/>
              <w:szCs w:val="24"/>
              <w:rtl/>
            </w:rPr>
            <w:t xml:space="preserve">פרק 2: תמצית המאמר והנקודות המרכזיות</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2.1 הרקע התיאורטי: סלוטוגנזה ותחושת קוהרנטיות בעבודה</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2.2 עיצוב תפקיד מבוסס צרכים</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2.3 ההשערות: ספירלת רווח</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2.4 השיטה בקצרה</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2.5 הממצאים המרכזיים</w:t>
          </w:r>
          <w:r>
            <w:rPr>
              <w:rFonts w:ascii="David" w:hAnsi="David" w:cs="David"/>
              <w:sz w:val="24"/>
              <w:szCs w:val="24"/>
              <w:rtl/>
            </w:rPr>
            <w:tab/>
            <w:t>10</w:t>
          </w:r>
        </w:p>
        <w:p>
          <w:pPr>
            <w:pStyle w:val="TOC2"/>
            <w:tabs>
              <w:tab w:val="left" w:leader="dot" w:pos="8800"/>
            </w:tabs>
            <w:bidi/>
            <w:spacing w:line="300" w:lineRule="auto" w:after="40"/>
            <w:ind w:left="0" w:right="400"/>
          </w:pPr>
          <w:r>
            <w:rPr>
              <w:rFonts w:ascii="David" w:hAnsi="David" w:cs="David"/>
              <w:sz w:val="24"/>
              <w:szCs w:val="24"/>
              <w:rtl/>
            </w:rPr>
            <w:t xml:space="preserve">2.6 המסקנות</w:t>
          </w:r>
          <w:r>
            <w:rPr>
              <w:rFonts w:ascii="David" w:hAnsi="David" w:cs="David"/>
              <w:sz w:val="24"/>
              <w:szCs w:val="24"/>
              <w:rtl/>
            </w:rPr>
            <w:tab/>
            <w:t>10</w:t>
          </w:r>
        </w:p>
        <w:p>
          <w:pPr>
            <w:pStyle w:val="TOC1"/>
            <w:tabs>
              <w:tab w:val="left" w:leader="dot" w:pos="8800"/>
            </w:tabs>
            <w:bidi/>
            <w:spacing w:line="300" w:lineRule="auto" w:after="40"/>
            <w:ind w:left="0" w:right="0"/>
          </w:pPr>
          <w:r>
            <w:rPr>
              <w:rFonts w:ascii="David" w:hAnsi="David" w:cs="David"/>
              <w:sz w:val="24"/>
              <w:szCs w:val="24"/>
              <w:rtl/>
            </w:rPr>
            <w:t xml:space="preserve">פרק 3: ניתוח המאמר לפי מבנה, שיטה וממצאים</w:t>
          </w:r>
          <w:r>
            <w:rPr>
              <w:rFonts w:ascii="David" w:hAnsi="David" w:cs="David"/>
              <w:sz w:val="24"/>
              <w:szCs w:val="24"/>
              <w:rtl/>
            </w:rPr>
            <w:tab/>
            <w:t>12</w:t>
          </w:r>
        </w:p>
        <w:p>
          <w:pPr>
            <w:pStyle w:val="TOC2"/>
            <w:tabs>
              <w:tab w:val="left" w:leader="dot" w:pos="8800"/>
            </w:tabs>
            <w:bidi/>
            <w:spacing w:line="300" w:lineRule="auto" w:after="40"/>
            <w:ind w:left="0" w:right="400"/>
          </w:pPr>
          <w:r>
            <w:rPr>
              <w:rFonts w:ascii="David" w:hAnsi="David" w:cs="David"/>
              <w:sz w:val="24"/>
              <w:szCs w:val="24"/>
              <w:rtl/>
            </w:rPr>
            <w:t xml:space="preserve">3.1 מבנה המאמר</w:t>
          </w:r>
          <w:r>
            <w:rPr>
              <w:rFonts w:ascii="David" w:hAnsi="David" w:cs="David"/>
              <w:sz w:val="24"/>
              <w:szCs w:val="24"/>
              <w:rtl/>
            </w:rPr>
            <w:tab/>
            <w:t>12</w:t>
          </w:r>
        </w:p>
        <w:p>
          <w:pPr>
            <w:pStyle w:val="TOC2"/>
            <w:tabs>
              <w:tab w:val="left" w:leader="dot" w:pos="8800"/>
            </w:tabs>
            <w:bidi/>
            <w:spacing w:line="300" w:lineRule="auto" w:after="40"/>
            <w:ind w:left="0" w:right="400"/>
          </w:pPr>
          <w:r>
            <w:rPr>
              <w:rFonts w:ascii="David" w:hAnsi="David" w:cs="David"/>
              <w:sz w:val="24"/>
              <w:szCs w:val="24"/>
              <w:rtl/>
            </w:rPr>
            <w:t xml:space="preserve">3.2 השיטה</w:t>
          </w:r>
          <w:r>
            <w:rPr>
              <w:rFonts w:ascii="David" w:hAnsi="David" w:cs="David"/>
              <w:sz w:val="24"/>
              <w:szCs w:val="24"/>
              <w:rtl/>
            </w:rPr>
            <w:tab/>
            <w:t>12</w:t>
          </w:r>
        </w:p>
        <w:p>
          <w:pPr>
            <w:pStyle w:val="TOC2"/>
            <w:tabs>
              <w:tab w:val="left" w:leader="dot" w:pos="8800"/>
            </w:tabs>
            <w:bidi/>
            <w:spacing w:line="300" w:lineRule="auto" w:after="40"/>
            <w:ind w:left="0" w:right="400"/>
          </w:pPr>
          <w:r>
            <w:rPr>
              <w:rFonts w:ascii="David" w:hAnsi="David" w:cs="David"/>
              <w:sz w:val="24"/>
              <w:szCs w:val="24"/>
              <w:rtl/>
            </w:rPr>
            <w:t xml:space="preserve">3.3 הממצאים והמסקנות</w:t>
          </w:r>
          <w:r>
            <w:rPr>
              <w:rFonts w:ascii="David" w:hAnsi="David" w:cs="David"/>
              <w:sz w:val="24"/>
              <w:szCs w:val="24"/>
              <w:rtl/>
            </w:rPr>
            <w:tab/>
            <w:t>13</w:t>
          </w:r>
        </w:p>
        <w:p>
          <w:pPr>
            <w:pStyle w:val="TOC1"/>
            <w:tabs>
              <w:tab w:val="left" w:leader="dot" w:pos="8800"/>
            </w:tabs>
            <w:bidi/>
            <w:spacing w:line="300" w:lineRule="auto" w:after="40"/>
            <w:ind w:left="0" w:right="0"/>
          </w:pPr>
          <w:r>
            <w:rPr>
              <w:rFonts w:ascii="David" w:hAnsi="David" w:cs="David"/>
              <w:sz w:val="24"/>
              <w:szCs w:val="24"/>
              <w:rtl/>
            </w:rPr>
            <w:t xml:space="preserve">פרק 4: המאמר המשלים</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4.1 הצגת המאמר המשלים</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4.2 הקשר לנושא העבודה</w:t>
          </w:r>
          <w:r>
            <w:rPr>
              <w:rFonts w:ascii="David" w:hAnsi="David" w:cs="David"/>
              <w:sz w:val="24"/>
              <w:szCs w:val="24"/>
              <w:rtl/>
            </w:rPr>
            <w:tab/>
            <w:t>14</w:t>
          </w:r>
        </w:p>
        <w:p>
          <w:pPr>
            <w:pStyle w:val="TOC1"/>
            <w:tabs>
              <w:tab w:val="left" w:leader="dot" w:pos="8800"/>
            </w:tabs>
            <w:bidi/>
            <w:spacing w:line="300" w:lineRule="auto" w:after="40"/>
            <w:ind w:left="0" w:right="0"/>
          </w:pPr>
          <w:r>
            <w:rPr>
              <w:rFonts w:ascii="David" w:hAnsi="David" w:cs="David"/>
              <w:sz w:val="24"/>
              <w:szCs w:val="24"/>
              <w:rtl/>
            </w:rPr>
            <w:t xml:space="preserve">פרק 5: תובנות, מסקנות ודעה אישית</w:t>
          </w:r>
          <w:r>
            <w:rPr>
              <w:rFonts w:ascii="David" w:hAnsi="David" w:cs="David"/>
              <w:sz w:val="24"/>
              <w:szCs w:val="24"/>
              <w:rtl/>
            </w:rPr>
            <w:tab/>
            <w:t>15</w:t>
          </w:r>
        </w:p>
        <w:p>
          <w:pPr>
            <w:pStyle w:val="TOC2"/>
            <w:tabs>
              <w:tab w:val="left" w:leader="dot" w:pos="8800"/>
            </w:tabs>
            <w:bidi/>
            <w:spacing w:line="300" w:lineRule="auto" w:after="40"/>
            <w:ind w:left="0" w:right="400"/>
          </w:pPr>
          <w:r>
            <w:rPr>
              <w:rFonts w:ascii="David" w:hAnsi="David" w:cs="David"/>
              <w:sz w:val="24"/>
              <w:szCs w:val="24"/>
              <w:rtl/>
            </w:rPr>
            <w:t xml:space="preserve">5.1 תובנות מרכזיות</w:t>
          </w:r>
          <w:r>
            <w:rPr>
              <w:rFonts w:ascii="David" w:hAnsi="David" w:cs="David"/>
              <w:sz w:val="24"/>
              <w:szCs w:val="24"/>
              <w:rtl/>
            </w:rPr>
            <w:tab/>
            <w:t>15</w:t>
          </w:r>
        </w:p>
        <w:p>
          <w:pPr>
            <w:pStyle w:val="TOC2"/>
            <w:tabs>
              <w:tab w:val="left" w:leader="dot" w:pos="8800"/>
            </w:tabs>
            <w:bidi/>
            <w:spacing w:line="300" w:lineRule="auto" w:after="40"/>
            <w:ind w:left="0" w:right="400"/>
          </w:pPr>
          <w:r>
            <w:rPr>
              <w:rFonts w:ascii="David" w:hAnsi="David" w:cs="David"/>
              <w:sz w:val="24"/>
              <w:szCs w:val="24"/>
              <w:rtl/>
            </w:rPr>
            <w:t xml:space="preserve">5.2 מסקנות</w:t>
          </w:r>
          <w:r>
            <w:rPr>
              <w:rFonts w:ascii="David" w:hAnsi="David" w:cs="David"/>
              <w:sz w:val="24"/>
              <w:szCs w:val="24"/>
              <w:rtl/>
            </w:rPr>
            <w:tab/>
            <w:t>15</w:t>
          </w:r>
        </w:p>
        <w:p>
          <w:pPr>
            <w:pStyle w:val="TOC2"/>
            <w:tabs>
              <w:tab w:val="left" w:leader="dot" w:pos="8800"/>
            </w:tabs>
            <w:bidi/>
            <w:spacing w:line="300" w:lineRule="auto" w:after="40"/>
            <w:ind w:left="0" w:right="400"/>
          </w:pPr>
          <w:r>
            <w:rPr>
              <w:rFonts w:ascii="David" w:hAnsi="David" w:cs="David"/>
              <w:sz w:val="24"/>
              <w:szCs w:val="24"/>
              <w:rtl/>
            </w:rPr>
            <w:t xml:space="preserve">5.3 דעה אישית וביקורת</w:t>
          </w:r>
          <w:r>
            <w:rPr>
              <w:rFonts w:ascii="David" w:hAnsi="David" w:cs="David"/>
              <w:sz w:val="24"/>
              <w:szCs w:val="24"/>
              <w:rtl/>
            </w:rPr>
            <w:tab/>
            <w:t>16</w:t>
          </w:r>
        </w:p>
        <w:p>
          <w:pPr>
            <w:pStyle w:val="TOC1"/>
            <w:tabs>
              <w:tab w:val="left" w:leader="dot" w:pos="8800"/>
            </w:tabs>
            <w:bidi/>
            <w:spacing w:line="300" w:lineRule="auto" w:after="40"/>
            <w:ind w:left="0" w:right="0"/>
          </w:pPr>
          <w:r>
            <w:rPr>
              <w:rFonts w:ascii="David" w:hAnsi="David" w:cs="David"/>
              <w:sz w:val="24"/>
              <w:szCs w:val="24"/>
              <w:rtl/>
            </w:rPr>
            <w:t xml:space="preserve">פרק 6: יישום מעשי בניהול קריירה</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6.1 תוכנית עיצוב תפקיד אישית: כלי הנגזר מהמאמר</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6.2 קישור לחומר הנלמד בקורס</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6.3 השלכות למנהלים בכיתה</w:t>
          </w:r>
          <w:r>
            <w:rPr>
              <w:rFonts w:ascii="David" w:hAnsi="David" w:cs="David"/>
              <w:sz w:val="24"/>
              <w:szCs w:val="24"/>
              <w:rtl/>
            </w:rPr>
            <w:tab/>
            <w:t>18</w:t>
          </w:r>
        </w:p>
        <w:p>
          <w:pPr>
            <w:pStyle w:val="TOC2"/>
            <w:tabs>
              <w:tab w:val="left" w:leader="dot" w:pos="8800"/>
            </w:tabs>
            <w:bidi/>
            <w:spacing w:line="300" w:lineRule="auto" w:after="40"/>
            <w:ind w:left="0" w:right="400"/>
          </w:pPr>
          <w:r>
            <w:rPr>
              <w:rFonts w:ascii="David" w:hAnsi="David" w:cs="David"/>
              <w:sz w:val="24"/>
              <w:szCs w:val="24"/>
              <w:rtl/>
            </w:rPr>
            <w:t xml:space="preserve">6.4 האמצעים להמחשה ולהפעלה במצגת</w:t>
          </w:r>
          <w:r>
            <w:rPr>
              <w:rFonts w:ascii="David" w:hAnsi="David" w:cs="David"/>
              <w:sz w:val="24"/>
              <w:szCs w:val="24"/>
              <w:rtl/>
            </w:rPr>
            <w:tab/>
            <w:t>19</w:t>
          </w:r>
        </w:p>
        <w:p>
          <w:pPr>
            <w:pStyle w:val="TOC1"/>
            <w:tabs>
              <w:tab w:val="left" w:leader="dot" w:pos="8800"/>
            </w:tabs>
            <w:bidi/>
            <w:spacing w:line="300" w:lineRule="auto" w:after="40"/>
            <w:ind w:left="0" w:right="0"/>
          </w:pPr>
          <w:r>
            <w:rPr>
              <w:rFonts w:ascii="David" w:hAnsi="David" w:cs="David"/>
              <w:sz w:val="24"/>
              <w:szCs w:val="24"/>
              <w:rtl/>
            </w:rPr>
            <w:t xml:space="preserve">סיכום ומסקנות</w:t>
          </w:r>
          <w:r>
            <w:rPr>
              <w:rFonts w:ascii="David" w:hAnsi="David" w:cs="David"/>
              <w:sz w:val="24"/>
              <w:szCs w:val="24"/>
              <w:rtl/>
            </w:rPr>
            <w:tab/>
            <w:t>20</w:t>
          </w:r>
        </w:p>
        <w:p>
          <w:pPr>
            <w:pStyle w:val="TOC1"/>
            <w:tabs>
              <w:tab w:val="left" w:leader="dot" w:pos="8800"/>
            </w:tabs>
            <w:bidi/>
            <w:spacing w:line="300" w:lineRule="auto" w:after="40"/>
            <w:ind w:left="0" w:right="0"/>
          </w:pPr>
          <w:r>
            <w:rPr>
              <w:rFonts w:ascii="David" w:hAnsi="David" w:cs="David"/>
              <w:sz w:val="24"/>
              <w:szCs w:val="24"/>
              <w:rtl/>
            </w:rPr>
            <w:t xml:space="preserve">נספח א: תכנון המצגת והאמצעים להמחשה</w:t>
          </w:r>
          <w:r>
            <w:rPr>
              <w:rFonts w:ascii="David" w:hAnsi="David" w:cs="David"/>
              <w:sz w:val="24"/>
              <w:szCs w:val="24"/>
              <w:rtl/>
            </w:rPr>
            <w:tab/>
            <w:t>21</w:t>
          </w:r>
        </w:p>
        <w:p>
          <w:pPr>
            <w:pStyle w:val="TOC2"/>
            <w:tabs>
              <w:tab w:val="left" w:leader="dot" w:pos="8800"/>
            </w:tabs>
            <w:bidi/>
            <w:spacing w:line="300" w:lineRule="auto" w:after="40"/>
            <w:ind w:left="0" w:right="400"/>
          </w:pPr>
          <w:r>
            <w:rPr>
              <w:rFonts w:ascii="David" w:hAnsi="David" w:cs="David"/>
              <w:sz w:val="24"/>
              <w:szCs w:val="24"/>
              <w:rtl/>
            </w:rPr>
            <w:t xml:space="preserve">כרטיסיות ההפעלה</w:t>
          </w:r>
          <w:r>
            <w:rPr>
              <w:rFonts w:ascii="David" w:hAnsi="David" w:cs="David"/>
              <w:sz w:val="24"/>
              <w:szCs w:val="24"/>
              <w:rtl/>
            </w:rPr>
            <w:tab/>
            <w:t>21</w:t>
          </w:r>
        </w:p>
        <w:p>
          <w:pPr>
            <w:pStyle w:val="TOC1"/>
            <w:tabs>
              <w:tab w:val="left" w:leader="dot" w:pos="8800"/>
            </w:tabs>
            <w:bidi/>
            <w:spacing w:line="300" w:lineRule="auto" w:after="40"/>
            <w:ind w:left="0" w:right="0"/>
          </w:pPr>
          <w:r>
            <w:rPr>
              <w:rFonts w:ascii="David" w:hAnsi="David" w:cs="David"/>
              <w:sz w:val="24"/>
              <w:szCs w:val="24"/>
              <w:rtl/>
            </w:rPr>
            <w:t xml:space="preserve">נספח ב: שאלון קצר להערכה עצמית</w:t>
          </w:r>
          <w:r>
            <w:rPr>
              <w:rFonts w:ascii="David" w:hAnsi="David" w:cs="David"/>
              <w:sz w:val="24"/>
              <w:szCs w:val="24"/>
              <w:rtl/>
            </w:rPr>
            <w:tab/>
            <w:t>22</w:t>
          </w:r>
        </w:p>
        <w:p>
          <w:pPr>
            <w:pStyle w:val="TOC1"/>
            <w:tabs>
              <w:tab w:val="left" w:leader="dot" w:pos="8800"/>
            </w:tabs>
            <w:bidi/>
            <w:spacing w:line="300" w:lineRule="auto" w:after="40"/>
            <w:ind w:left="0" w:right="0"/>
          </w:pPr>
          <w:r>
            <w:rPr>
              <w:rFonts w:ascii="David" w:hAnsi="David" w:cs="David"/>
              <w:sz w:val="24"/>
              <w:szCs w:val="24"/>
              <w:rtl/>
            </w:rPr>
            <w:t xml:space="preserve">רשימת מקורות</w:t>
          </w:r>
          <w:r>
            <w:rPr>
              <w:rFonts w:ascii="David" w:hAnsi="David" w:cs="David"/>
              <w:sz w:val="24"/>
              <w:szCs w:val="24"/>
              <w:rtl/>
            </w:rPr>
            <w:tab/>
            <w:t>23</w:t>
          </w:r>
        </w:p>
        <w:p>
          <w:r>
            <w:fldChar w:fldCharType="end"/>
          </w:r>
        </w:p>
      </w:sdtContent>
    </w:sdt>
    <w:p>
      <w:r>
        <w:br w:type="page"/>
      </w:r>
    </w:p>
    <w:p>
      <w:pPr>
        <w:pStyle w:val="Heading1"/>
        <w:bidi/>
        <w:spacing w:after="240" w:before="240" w:line="480"/>
        <w:jc w:val="right"/>
      </w:pPr>
      <w:r>
        <w:rPr>
          <w:rFonts w:ascii="David" w:cs="David" w:eastAsia="David" w:hAnsi="David"/>
          <w:b/>
          <w:bCs/>
          <w:color w:val="000000"/>
          <w:sz w:val="32"/>
          <w:szCs w:val="32"/>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כלומר החשש של העובד לאבד את משרתו או את המאפיינים החשובים לו בה, הפך מאירוע חריג לתנאי קבוע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ניהול קריירה, כפי שנלמד בקורס, הוא תהליך מתמשך של למידה, בניית זהות מקצועית וטיפוח רשת אנשים, והוא נשען על משאבים שהסביבה מספקת, כגון תמיכה במקום העבודה ובמשפחה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תהליך כזה מניח מידה של יציבות.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וההסתכלות על משבר כעל הזדמנות.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הקשר בין שני המאמרים.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00000"/>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פריט</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00000"/>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00000"/>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00000"/>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000000"/>
          <w:sz w:val="20"/>
          <w:szCs w:val="20"/>
          <w:rtl/>
        </w:rPr>
        <w:t xml:space="preserve">מקור: עיבוד של המחברים על פי טבלה 4 אצל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00000"/>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00000"/>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חלק</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bidi/>
        <w:spacing w:after="240" w:before="240" w:line="480"/>
        <w:jc w:val="right"/>
      </w:pPr>
      <w:r>
        <w:rPr>
          <w:rFonts w:ascii="David" w:cs="David" w:eastAsia="David" w:hAnsi="David"/>
          <w:b/>
          <w:bCs/>
          <w:color w:val="000000"/>
          <w:sz w:val="32"/>
          <w:szCs w:val="32"/>
          <w:rtl/>
        </w:rPr>
        <w:t xml:space="preserve">פרק 4: המאמר המשלים</w:t>
      </w:r>
    </w:p>
    <w:p>
      <w:pPr>
        <w:pStyle w:val="Heading2"/>
        <w:bidi/>
        <w:spacing w:after="120" w:before="240" w:line="480"/>
        <w:jc w:val="right"/>
      </w:pPr>
      <w:r>
        <w:rPr>
          <w:rFonts w:ascii="David" w:cs="David" w:eastAsia="David" w:hAnsi="David"/>
          <w:b/>
          <w:bCs/>
          <w:color w:val="000000"/>
          <w:sz w:val="28"/>
          <w:szCs w:val="28"/>
          <w:rtl/>
        </w:rPr>
        <w:t xml:space="preserve">4.1 הצגת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00000"/>
          <w:sz w:val="28"/>
          <w:szCs w:val="28"/>
          <w:rtl/>
        </w:rPr>
        <w:t xml:space="preserve">4.2 הקשר לנושא העבודה</w:t>
      </w:r>
    </w:p>
    <w:p>
      <w:pPr>
        <w:bidi/>
        <w:spacing w:after="120" w:before="0" w:line="480"/>
        <w:jc w:val="both"/>
      </w:pPr>
      <w:r>
        <w:rPr>
          <w:rFonts w:ascii="David" w:cs="David" w:eastAsia="David" w:hAnsi="David"/>
          <w:sz w:val="24"/>
          <w:szCs w:val="24"/>
          <w:rtl/>
        </w:rPr>
        <w:t xml:space="preserve">חוסר ביטחון תעסוקתי, כפי שהוא מוגדר במאמר המשלים, הוא תחושה של איום על המשך ההעסקה או על מאפייני התפקיד, והוא מתגבר ככל שהעובד מודע לכך שטכנולוגיה עלולה לשנות את עבודתו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במונחי המאמר המרכזי, זוהי פגיעה בשלושת רכיבי תחושת הקוהרנטיות: העתיד אינו צפוי, המשאבים נראים בלתי מספיקים, וקשה להתחייב למה שעלול להיעלם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עיצוב תפקיד מבוסס צרכים הוא לכן דרך להתמודד עם חוסר הוודאות מבפנים. כשהבינה המלאכותית משנה את תוכן התפקיד בלי לבטל אותו, העובד שמעצב את תפקידו סביב צרכיו הוא זה שקובע מה יישאר בו.</w:t>
      </w:r>
    </w:p>
    <w:p>
      <w:r>
        <w:br w:type="page"/>
      </w:r>
    </w:p>
    <w:p>
      <w:pPr>
        <w:pStyle w:val="Heading1"/>
        <w:bidi/>
        <w:spacing w:after="240" w:before="240" w:line="480"/>
        <w:jc w:val="right"/>
      </w:pPr>
      <w:r>
        <w:rPr>
          <w:rFonts w:ascii="David" w:cs="David" w:eastAsia="David" w:hAnsi="David"/>
          <w:b/>
          <w:bCs/>
          <w:color w:val="000000"/>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00000"/>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ואילו מובנות לא תרמה ליוזמה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מי שמרגיש שאין לו מספיק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00000"/>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המאמר המשלים מוסיף שהאיום הטכנולוגי פוגע בביצועים דרך חוסר הביטחון, ולכן הפחתת חוסר הביטחון היא אינטרס ארגוני ולא רק טובת העובד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נקודת המבט. רוב מה שקראנו על חוסר ודאות תעסוקתי עסק בנזק, והמאמר הזה שואל מה עוזר. הרעיון של אנטונובסקי, שפעל כאן בישראל, שאפשר לחקור את מקורות הבריאות במקום את מקורות המחלה, נשמע לנו רלוונטי במיוחד לשנתיים האחרונות. אהבנו גם את הפרקטיות: שישה צרכים, שאלות פשוטות, ופעולות שכל אחד יכול לעשות בשבועיים הקרובים. והערכנו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שלושה דברים. ראשית, המאמר לא מודד חוסר ביטחון תעסוקתי במישרין. הוא נערך בתקופת הקורונה ומזכיר את אי-הוודאות רק כמגבלה, ולכן את הקשר לנושא שלנו בנינו בעצמנו, דרך המאמר המשלים והספרות על חוסר ביטחון. שנית, המדגם גרמני ושווייצרי, מבוגר יחסית, בגיל ממוצע של כמעט 49, ומגיע מתרבות עבודה עם ביטחון סוציאלי גבוה. אנחנו, סטודנטים ישראלים בתחילת הדרך, בסביבת עבודה פחות יציבה, לא בטוחים שהמרחב לעיצוב תפקיד שהיה למשתתפים קיים גם אצלנו.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שהמסר של המאמר משלים את "ממשבר להזדמנות" שלמדנו בקורס. משבר הופך להזדמנות לא מעצמו, אלא כשמישהו מעצב אותו כך. עם זאת, המאמר עצמו מראה שהיוזמה תלויה בתחושת ניהוליות, ומי שמרגיש מאוים ובלי משאבים יתקשה להתחיל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לכן אנחנו חושבים שהמסר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00000"/>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הצורך</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000000"/>
          <w:sz w:val="20"/>
          <w:szCs w:val="20"/>
          <w:rtl/>
        </w:rPr>
        <w:t xml:space="preserve">מקור: פיתוח של המחברים על פי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00000"/>
          <w:sz w:val="28"/>
          <w:szCs w:val="28"/>
          <w:rtl/>
        </w:rPr>
        <w:t xml:space="preserve">6.2 קישור לחומר הנלמד בקורס</w:t>
      </w:r>
    </w:p>
    <w:p>
      <w:pPr>
        <w:bidi/>
        <w:spacing w:after="120" w:before="0" w:line="480"/>
        <w:jc w:val="both"/>
      </w:pPr>
      <w:r>
        <w:rPr>
          <w:rFonts w:ascii="David" w:cs="David" w:eastAsia="David" w:hAnsi="David"/>
          <w:sz w:val="24"/>
          <w:szCs w:val="24"/>
          <w:rtl/>
        </w:rPr>
        <w:t xml:space="preserve">המאמר אינו זר לחומר הקורס אלא מעניק לו בסיס אמפירי. שלושת "סלי הכלים" לניהול קריירה שנלמדו בקורס, רשת אנשים, זהות מקצועית והתפתחות, מקבילים כמעט אחד לאחד לצרכי ההתקרבות שנמצאו כבונים תחושת קוהרנטיות. סל רשת האנשים הוא צורך השייכות, סל ההתפתחות, ובמרכזו תוכנית למידה שנתית, הוא צורך המיומנות, וסל הזהות המקצועית הוא צורך המשמעות. חמש השאלות של הזהות המקצועית שנלמדו בקורס, איזה ערך אני מביא, עם מי עליי לשתף פעולה, מי זקוק לערך הזה, איך הוא מכונה וכיצד מיידעים שאני קיים, הן למעשה תרגיל מובנה של עיצוב תפקיד לצורך המשמעות. המאמר מוסיף לשלושת הסלים את צורך האוטונומיה, ובעיקר מוסיף ראיה: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תפיסת מסע הקריירה שנלמדה בקורס מתחברת לממצאים. הרעיון של קריירה רבודה, שבה קריירות נבנות זו על זו ומרחיבות את הניסיון והיכולות, והדימוי של הקריירה כקיר טיפוס שבו יש להחליט היכן להניח את הצעד הבא, הם תיאור מדויק של ספירלת הרווח שהמחקר מתעד: כל צעד של עיצוב תפקיד מגדיל את המשאבים ומאפשר את הצעד הבא. תיאוריית שני הגורמים של הרצברג, שנלמדה בניתוח הסרט בקורס, מסבירה מדוע דווקא צרכי ההתקרבות בונים משמעותיות: הגורמים המניעים שלו, הישג, הכרה והעבודה עצמה, חופפים לצרכי המיומנות והמשמעות, ואילו הגורמים ההיגייניים, כמו תנאים ונוחות, דומים לצרכי ההימנעות שלא שינו את תפיסת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מודל עוגני הקריירה שנלמד בקורס מסביר מדוע עובדים שונים ירוויחו מצרכים שונים. מי שעוגן האוטונומיה דומיננטי אצלו ימצא בעיצוב תפקיד לצורך האוטונומיה סיפוק מיוחד, ואילו מי שעוגן הביטחון והיציבות דומיננטי אצלו יפיק תועלת בעיקר מחיזוק המובנות, כלומר מהפיכת העבודה לצפויה וברורה יותר. לפי מודל שלבי הקריירה של סופר, שנלמד אף הוא בניתוח הסרט, רוב הסטודנטים בכיתה נמצאים בשלב החקירה או הביסוס, שבו עיצוב התפקיד הוא גם דרך לברר מה מתאים להם. לבסוף, מאמר החובה בקורס מראה שתמיכה במקום העבודה ובמשפחה משפרת את הזמינות הפסיכולוגית ואת האנרגיה בעבודה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זהו בדיוק הרכיב שהמאמר המרכזי מזהה כמנוע ליוזמה, תחושת הניהוליות, ומכאן שתמיכה מהסביבה ועיצוב תפקיד יזום מזינים זה את זה. העיקרון של בניית תמונת מצב סדורה ומיקוד במה שבשליטה, שנלמד בהקשר של משבר הקורונה, הוא יישום ישיר של חיזוק המובנות והניהוליות.</w:t>
      </w:r>
    </w:p>
    <w:p>
      <w:pPr>
        <w:pStyle w:val="Heading2"/>
        <w:bidi/>
        <w:spacing w:after="120" w:before="240" w:line="480"/>
        <w:jc w:val="right"/>
      </w:pPr>
      <w:r>
        <w:rPr>
          <w:rFonts w:ascii="David" w:cs="David" w:eastAsia="David" w:hAnsi="David"/>
          <w:b/>
          <w:bCs/>
          <w:color w:val="000000"/>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פוגע בביצועים ומגביר התנהגות סוטה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החיבור לחומר הקורס, טבלת תוכנית עיצוב התפקיד והפעלה אישית קצרה שבה כל סטודנט בוחר צורך אחד ופעולה אחת.</w:t>
      </w:r>
    </w:p>
    <w:p>
      <w:r>
        <w:br w:type="page"/>
      </w:r>
    </w:p>
    <w:p>
      <w:pPr>
        <w:pStyle w:val="Heading1"/>
        <w:bidi/>
        <w:spacing w:after="240" w:before="240" w:line="480"/>
        <w:jc w:val="right"/>
      </w:pPr>
      <w:r>
        <w:rPr>
          <w:rFonts w:ascii="David" w:cs="David" w:eastAsia="David" w:hAnsi="David"/>
          <w:b/>
          <w:bCs/>
          <w:color w:val="000000"/>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שני המאמרים יחד מלמדים שאת המשאבים יש לבנות מראש, לפני שהאיום מדלדל אותם.</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זמן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חיבור לחומר הקורס ותובנות: בינה מלאכותית, חוסן קריירה, סלי הכלים, הרצברג, עוגני קריירה, "המשאבים קודמים ליוזמה"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 טבלת חיבור לחומר הקורס</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6:30-7:45</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75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7:45-9:00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היגד</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Russo, M., Shteigman, A., &amp; Carmeli, A. (2016). Workplace and family support and work-life balance: Implications for individual psychological availability and energy at work. </w:t>
      </w:r>
      <w:r>
        <w:rPr>
          <w:rFonts w:ascii="Times New Roman" w:cs="Times New Roman" w:eastAsia="Times New Roman" w:hAnsi="Times New Roman"/>
          <w:i/>
          <w:iCs/>
          <w:sz w:val="24"/>
          <w:szCs w:val="24"/>
        </w:rPr>
        <w:t xml:space="preserve">The Journal of Positive Psychology, 11</w:t>
      </w:r>
      <w:r>
        <w:rPr>
          <w:rFonts w:ascii="Times New Roman" w:cs="Times New Roman" w:eastAsia="Times New Roman" w:hAnsi="Times New Roman"/>
          <w:i w:val="false"/>
          <w:iCs w:val="false"/>
          <w:sz w:val="24"/>
          <w:szCs w:val="24"/>
        </w:rPr>
        <w:t xml:space="preserve">(2), 173-188. https://doi.org/10.1080/17439760.2015.1025424</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TOC1">
    <w:name w:val="toc 1"/>
    <w:basedOn w:val="Normal"/>
    <w:next w:val="Normal"/>
    <w:uiPriority w:val="39"/>
    <w:pPr>
      <w:tabs>
        <w:tab w:val="left" w:leader="dot" w:pos="8800"/>
      </w:tabs>
      <w:bidi/>
      <w:spacing w:line="300" w:lineRule="auto" w:after="40"/>
      <w:ind w:right="0"/>
    </w:pPr>
    <w:rPr>
      <w:rFonts w:ascii="David" w:hAnsi="David" w:cs="David"/>
      <w:sz w:val="24"/>
      <w:szCs w:val="24"/>
    </w:rPr>
  </w:style>
  <w:style w:type="paragraph" w:styleId="TOC2">
    <w:name w:val="toc 2"/>
    <w:basedOn w:val="Normal"/>
    <w:next w:val="Normal"/>
    <w:uiPriority w:val="39"/>
    <w:pPr>
      <w:tabs>
        <w:tab w:val="left" w:leader="dot" w:pos="8800"/>
      </w:tabs>
      <w:bidi/>
      <w:spacing w:line="300" w:lineRule="auto" w:after="40"/>
      <w:ind w:right="400"/>
    </w:pPr>
    <w:rPr>
      <w:rFonts w:ascii="David" w:hAnsi="David" w:cs="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2026-09-18T13:10:01.609Z</dcterms:created>
  <dcterms:modified xsi:type="dcterms:W3CDTF">2026-09-18T13:10:01.622Z</dcterms:modified>
</cp:coreProperties>
</file>

<file path=docProps/custom.xml><?xml version="1.0" encoding="utf-8"?>
<Properties xmlns="http://schemas.openxmlformats.org/officeDocument/2006/custom-properties" xmlns:vt="http://schemas.openxmlformats.org/officeDocument/2006/docPropsVTypes"/>
</file>