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0" w:line="360" w:lineRule="auto"/>
        <w:jc w:val="center"/>
      </w:pPr>
      <w:r>
        <w:rPr>
          <w:rFonts w:ascii="David" w:cs="David" w:eastAsia="David" w:hAnsi="David"/>
          <w:b/>
          <w:bCs/>
          <w:sz w:val="24"/>
          <w:szCs w:val="24"/>
          <w:rtl/>
        </w:rPr>
        <w:t xml:space="preserve">עבודת בית בדיני קניין</w:t>
      </w:r>
    </w:p>
    <w:p>
      <w:pPr>
        <w:bidi/>
        <w:spacing w:after="0" w:before="0" w:line="360" w:lineRule="auto"/>
        <w:jc w:val="center"/>
      </w:pPr>
      <w:r>
        <w:rPr>
          <w:rFonts w:ascii="David" w:cs="David" w:eastAsia="David" w:hAnsi="David"/>
          <w:b w:val="false"/>
          <w:bCs w:val="false"/>
          <w:sz w:val="24"/>
          <w:szCs w:val="24"/>
          <w:rtl/>
        </w:rPr>
        <w:t xml:space="preserve">הקורס: דיני קניין; המרצה: ד"ר נעם שר; תשפ"ו, סמסטר קיץ</w:t>
      </w:r>
    </w:p>
    <w:p>
      <w:pPr>
        <w:bidi/>
        <w:spacing w:after="120" w:before="0" w:line="360" w:lineRule="auto"/>
        <w:jc w:val="center"/>
      </w:pPr>
      <w:r>
        <w:rPr>
          <w:rFonts w:ascii="David" w:cs="David" w:eastAsia="David" w:hAnsi="David"/>
          <w:b w:val="false"/>
          <w:bCs w:val="false"/>
          <w:sz w:val="24"/>
          <w:szCs w:val="24"/>
          <w:rtl/>
        </w:rPr>
        <w:t xml:space="preserve">שם המגיש/ה: ______________________   ת"ז: ______________</w:t>
      </w:r>
    </w:p>
    <w:p>
      <w:pPr>
        <w:bidi/>
        <w:spacing w:after="40" w:before="160" w:line="360" w:lineRule="auto"/>
        <w:jc w:val="both"/>
      </w:pPr>
      <w:r>
        <w:rPr>
          <w:rFonts w:ascii="David" w:cs="David" w:eastAsia="David" w:hAnsi="David"/>
          <w:b/>
          <w:bCs/>
          <w:sz w:val="24"/>
          <w:szCs w:val="24"/>
          <w:u w:val="single"/>
          <w:rtl/>
        </w:rPr>
        <w:t xml:space="preserve">חלק ראשון, שאלה א: תביעת יעל לסילוק יד ולהריסת החלק הפולש מהמרפסת</w:t>
      </w:r>
    </w:p>
    <w:p>
      <w:pPr>
        <w:bidi/>
        <w:spacing w:after="40" w:before="0" w:line="360" w:lineRule="auto"/>
        <w:jc w:val="both"/>
      </w:pPr>
      <w:r>
        <w:rPr>
          <w:rFonts w:ascii="David" w:cs="David" w:eastAsia="David" w:hAnsi="David"/>
          <w:b w:val="false"/>
          <w:bCs w:val="false"/>
          <w:sz w:val="24"/>
          <w:szCs w:val="24"/>
          <w:rtl/>
        </w:rPr>
        <w:t xml:space="preserve">שלוש שאלות טעונות הכרעה: האם יעל יכולה להוכיח שהרצועה שייכת לה חרף הרישום הקיים; אם כן, אילו סעדים קנייניים עומדים לה; והאם שיקול הדעת השיפוטי ועקרון תום הלב ישללו ממנה את סעד ההריסה בנסיבות המקרה.</w:t>
      </w:r>
    </w:p>
    <w:p>
      <w:pPr>
        <w:bidi/>
        <w:spacing w:after="40" w:before="0" w:line="360" w:lineRule="auto"/>
        <w:jc w:val="both"/>
      </w:pPr>
      <w:r>
        <w:rPr>
          <w:rFonts w:ascii="David" w:cs="David" w:eastAsia="David" w:hAnsi="David"/>
          <w:b w:val="false"/>
          <w:bCs w:val="false"/>
          <w:sz w:val="24"/>
          <w:szCs w:val="24"/>
          <w:rtl/>
        </w:rPr>
        <w:t xml:space="preserve">במישור הזכות, מדובר במקרקעין מוסדרים, והרישום בפנקסים מהווה "ראיה חותכת לתכנו" [ס' 125(א) לחוק המקרקעין, תשכ"ט-1969 (להלן: חוק המקרקעין)]. חוות דעת של מודד מטעם יעל אינה גוברת על גבול רשום, ולכן תנאי מקדמי לתביעתה הוא תיקון הרישום בהליכים הסטטוטוריים שנועדו לתיקון טעויות שנפלו בהסדר, הליכים חריגים ומצומצמים מעצם טיבם [פקודת הסדר זכויות במקרקעין [נוסח חדש], תשכ"ט-1969]. קושי נוסף נובע מכך שהבניין רשום כבית משותף: אם הרצועה שבמחלוקת לא הוצמדה לדירתה של יעל, היא חלק מהרכוש המשותף, והפגיעה היא בזכויות כלל בעלי הדירות ולא בזכות ייחודית שלה. הניתוח להלן מניח, לטובת יעל, שהיא צולחת את שתי המשוכות.</w:t>
      </w:r>
    </w:p>
    <w:p>
      <w:pPr>
        <w:bidi/>
        <w:spacing w:after="40" w:before="0" w:line="360" w:lineRule="auto"/>
        <w:jc w:val="both"/>
      </w:pPr>
      <w:r>
        <w:rPr>
          <w:rFonts w:ascii="David" w:cs="David" w:eastAsia="David" w:hAnsi="David"/>
          <w:b w:val="false"/>
          <w:bCs w:val="false"/>
          <w:sz w:val="24"/>
          <w:szCs w:val="24"/>
          <w:rtl/>
        </w:rPr>
        <w:t xml:space="preserve">בהנחה זו עומדים לה סעדים מן הדין. הבעלות בקרקע מתפשטת גם ברום שמעל פני הקרקע [ס' 11 לחוק המקרקעין], ולכן מרפסת התלויה מעל שטחה היא הסגת גבול במקרקעין [ס' 29 לפקודת הנזיקין [נוסח חדש]]. בעל מקרקעין זכאי לדרוש את מסירתם ממי שמחזיק בהם שלא כדין [ס' 16 לחוק המקרקעין], לדרוש שתיפסק כל הפרעה לשימוש [ס' 17 לחוק המקרקעין], ומשהוקמו מחוברים במקרקעיו שלא כדין הוא רשאי לדרוש את סילוקם [ס' 21 לחוק המקרקעין]. דן אינו יכול להתגונן בטענת התיישנות, שכן זו לא תישמע לגבי מקרקעין מוסדרים [ס' 159(ב) לחוק המקרקעין].</w:t>
      </w:r>
    </w:p>
    <w:p>
      <w:pPr>
        <w:bidi/>
        <w:spacing w:after="40" w:before="0" w:line="360" w:lineRule="auto"/>
        <w:jc w:val="both"/>
      </w:pPr>
      <w:r>
        <w:rPr>
          <w:rFonts w:ascii="David" w:cs="David" w:eastAsia="David" w:hAnsi="David"/>
          <w:b w:val="false"/>
          <w:bCs w:val="false"/>
          <w:sz w:val="24"/>
          <w:szCs w:val="24"/>
          <w:rtl/>
        </w:rPr>
        <w:t xml:space="preserve">אלא שהסעד אינו אוטומטי. הבעלות עצמה מסויגת בהוראה שאין בה "כדי להצדיק עשיית דבר הגורם נזק או אי נוחות לאחר" [ס' 14 לחוק המקרקעין], ועל השימוש בזכות הקניינית ובסעדיה חל עקרון תום הלב [ס' 39 ו-61(ב) לחוק החוזים (חלק כללי), תשל"ג-1973]. בעניין רוקר נקבע שבידי בית המשפט שיקול דעת שלא להורות על הריסה, אם כי שיקול דעת מצומצם השמור למקרים חריגים, ובמסגרתו נבחנות עוצמת הזכות הנפגעת, עוצמת הפגיעה בה, עוצמת התוצאות של הסרת הבנייה והתנהגות הצדדים [רע"א 6339/97 רוקר נ' סולומון, פ"ד נה(1) 199]. שיקול דעת דומה הופעל עוד קודם לכן כלפי תובע שתביעתו נגועה בחוסר תום לב [ע"א 782/70 רדומילסקי נ' פרידמן, פ"ד כה(2) 523], והמבחנים יושמו גם בסכסוכי בנייה בין שכנים בבית משותף [ע"א 8661/10 נעמה נ' טורקיה (נבו)].</w:t>
      </w:r>
    </w:p>
    <w:p>
      <w:pPr>
        <w:bidi/>
        <w:spacing w:after="40" w:before="0" w:line="360" w:lineRule="auto"/>
        <w:jc w:val="both"/>
      </w:pPr>
      <w:r>
        <w:rPr>
          <w:rFonts w:ascii="David" w:cs="David" w:eastAsia="David" w:hAnsi="David"/>
          <w:b w:val="false"/>
          <w:bCs w:val="false"/>
          <w:sz w:val="24"/>
          <w:szCs w:val="24"/>
          <w:rtl/>
        </w:rPr>
        <w:t xml:space="preserve">ביישום, מכלול הנסיבות נופל לגדר החריג. הפגיעה שולית: רצועת אוויר של חצי מטר מעל הקומה השנייה והחצר, שאינה שוללת מיעל שימוש של ממש. דן בנה בתום לב מובהק, על יסוד היתר הבנייה המקורי ועל יסוד הגבול הרשום, שהיה באותה עת ראיה חותכת לזכותו. יעל צפתה בבנייה בזמן אמת ושתקה חמש שנים, שתיקה העולה כדי מצג של הסכמה, ואולי אף רשות מכללא, ומקימה מניעות. התביעה הוגשה רק על רקע סכסוך אחר, ועיתוי זה מלמד ששימושה בזכות אינו בתום לב [ס' 14 לחוק המקרקעין; עניין רוקר]. מנגד, הריסת חלק ממרפסת בנויה תסב לדן נזק ניכר והוצאה כבדה. יתרה מכך, דן, שבנה במקרקעין מוסדרים מתוך אמונה בתום לב שהוא בונה בשלו, רשאי לבקש שהרצועה תועבר לבעלותו תמורת שוויה, בהתקיים תנאי הסעיף [ס' 23 לחוק המקרקעין]. מסקנתי: גם אם תצליח יעל לתקן את הרישום ולהוכיח את זכותה, צו הריסה וסילוק יד צפויים להידחות, ובית המשפט יעדיף פיצוי כספי או העברת הרצועה לדן לפי ס' 23.</w:t>
      </w:r>
    </w:p>
    <w:p>
      <w:pPr>
        <w:bidi/>
        <w:spacing w:after="40" w:before="160" w:line="360" w:lineRule="auto"/>
        <w:jc w:val="both"/>
      </w:pPr>
      <w:r>
        <w:rPr>
          <w:rFonts w:ascii="David" w:cs="David" w:eastAsia="David" w:hAnsi="David"/>
          <w:b/>
          <w:bCs/>
          <w:sz w:val="24"/>
          <w:szCs w:val="24"/>
          <w:u w:val="single"/>
          <w:rtl/>
        </w:rPr>
        <w:t xml:space="preserve">חלק ראשון, שאלה ב: מניעת הפלישה בכוח, באמצעות חברת אבטחה או המשטרה</w:t>
      </w:r>
    </w:p>
    <w:p>
      <w:pPr>
        <w:bidi/>
        <w:spacing w:after="40" w:before="0" w:line="360" w:lineRule="auto"/>
        <w:jc w:val="both"/>
      </w:pPr>
      <w:r>
        <w:rPr>
          <w:rFonts w:ascii="David" w:cs="David" w:eastAsia="David" w:hAnsi="David"/>
          <w:b w:val="false"/>
          <w:bCs w:val="false"/>
          <w:sz w:val="24"/>
          <w:szCs w:val="24"/>
          <w:rtl/>
        </w:rPr>
        <w:t xml:space="preserve">השאלה היא אם עומדת ליעל זכות לעשיית דין עצמית. ס' 18(א) לחוק המקרקעין מתיר למחזיק במקרקעין כדין להשתמש בכוח במידה סבירה כדי למנוע הסגת גבול או שלילת שליטה שלא כדין, והפסיקה פירשה היתר זה בצמצום רב, כחריג השמור למצבים ברורים, מתוך חשש מאלימות ומהכרעת סכסוכים בכוח הזרוע [רע"א 5518/98 יוסף נ' עוקשי, פ"ד נה(3) 294; ע"א 756/80 רוזנשטיין נ' סולמון, פ"ד לח(2) 113].</w:t>
      </w:r>
    </w:p>
    <w:p>
      <w:pPr>
        <w:bidi/>
        <w:spacing w:after="40" w:before="0" w:line="360" w:lineRule="auto"/>
        <w:jc w:val="both"/>
      </w:pPr>
      <w:r>
        <w:rPr>
          <w:rFonts w:ascii="David" w:cs="David" w:eastAsia="David" w:hAnsi="David"/>
          <w:b w:val="false"/>
          <w:bCs w:val="false"/>
          <w:sz w:val="24"/>
          <w:szCs w:val="24"/>
          <w:rtl/>
        </w:rPr>
        <w:t xml:space="preserve">ביישום, יעל אינה עומדת בתנאי הבסיס. ההיתר ניתן ל"מחזיק כדין" המגן על שליטה קיימת מפני פלישה שלא כדין, ואילו כאן הרצועה רשומה כחלק מחלקו של דן, והוא בונה בה מכוח היתר בנייה; כל שבידי יעל הוא חוות דעת מודד הסותרת רישום המהווה ראיה חותכת [ס' 125(א) לחוק המקרקעין]. במחלוקת גבולות כנה, שהכרעתה מחייבת תיקון הרישום, הבנייה אינה "שלא כדין" באופן מובהק, ולכן שכירת חברת אבטחה שתחסום פיזית את הבנייה היא הפעלת כוח אסורה באמצעות שלוח, החושפת את יעל לאחריות נזיקית ואף פלילית. גם המשטרה אינה כתובת: תפקידה לשמור על הסדר הציבורי ועל מצב החזקה הקיים, ואין היא מכריעה בסכסוכי זכויות אזרחיים [בגץ 109/70 המוטראן הקופטי האורתודוכסי נ' שר המשטרה, פ"ד כה(1) 225; בגץ 477/81 בן ישראל נ' המפקח הכללי של המשטרה, פ"ד לו(4) 349], ובענייננו אף אין עבירה מובהקת של הסגת גבול [ס' 447 לחוק העונשין, תשל"ז-1977] שעה שדן בונה בשטח הרשום על שמו. דרכה הנכונה של יעל היא פנייה מיידית לבית המשפט לצו מניעה זמני. מסקנתי: התשובה שלילית.</w:t>
      </w:r>
    </w:p>
    <w:p>
      <w:pPr>
        <w:bidi/>
        <w:spacing w:after="40" w:before="160" w:line="360" w:lineRule="auto"/>
        <w:jc w:val="both"/>
      </w:pPr>
      <w:r>
        <w:rPr>
          <w:rFonts w:ascii="David" w:cs="David" w:eastAsia="David" w:hAnsi="David"/>
          <w:b/>
          <w:bCs/>
          <w:sz w:val="24"/>
          <w:szCs w:val="24"/>
          <w:u w:val="single"/>
          <w:rtl/>
        </w:rPr>
        <w:t xml:space="preserve">חלק שני, שאלה ג: ניר מול שירי, למי הבעלות ומי יפוצה</w:t>
      </w:r>
    </w:p>
    <w:p>
      <w:pPr>
        <w:bidi/>
        <w:spacing w:after="40" w:before="0" w:line="360" w:lineRule="auto"/>
        <w:jc w:val="both"/>
      </w:pPr>
      <w:r>
        <w:rPr>
          <w:rFonts w:ascii="David" w:cs="David" w:eastAsia="David" w:hAnsi="David"/>
          <w:b w:val="false"/>
          <w:bCs w:val="false"/>
          <w:sz w:val="24"/>
          <w:szCs w:val="24"/>
          <w:rtl/>
        </w:rPr>
        <w:t xml:space="preserve">לפנינו עסקאות נוגדות במקרקעין. ס' 9 לחוק המקרקעין מעניק עדיפות לבעל העסקה הראשונה בזמן (ניר), אלא אם כן השני התקשר בתמורה, פעל בתום לב, והעסקה לטובתו נרשמה. שירי שילמה תמורה ופעלה בתום לב, שכן בדקה נסח נקי, אך רשמה הערת אזהרה בלבד, ורישום הערה אינו "רישום" של העסקה המשכלל את החריג [ס' 9 לחוק המקרקעין; ע"א 9245/99 ויינברג נ' אריאן, פ"ד נח(4) 769]. לכאורה, אפוא, ידו של הראשון בזמן על העליונה.</w:t>
      </w:r>
    </w:p>
    <w:p>
      <w:pPr>
        <w:bidi/>
        <w:spacing w:after="40" w:before="0" w:line="360" w:lineRule="auto"/>
        <w:jc w:val="both"/>
      </w:pPr>
      <w:r>
        <w:rPr>
          <w:rFonts w:ascii="David" w:cs="David" w:eastAsia="David" w:hAnsi="David"/>
          <w:b w:val="false"/>
          <w:bCs w:val="false"/>
          <w:sz w:val="24"/>
          <w:szCs w:val="24"/>
          <w:rtl/>
        </w:rPr>
        <w:t xml:space="preserve">אלא שבעניין גנז נקבע שקונה ראשון שנמנע מרישום הערת אזהרה עלול לאבד את עדיפותו, שכן מחדלו מפר את חובת תום הלב כלפי הקונה השני ויוצר את "התאונה המשפטית" [ע"א 2643/97 גנז נ' בריטיש וקולוניאל חברה בע"מ, פ"ד נז(2) 385]. הכלל אינו מכני: נבחנות מכלול הנסיבות, ובכללן אשמו של הקונה השני ויכולתו לגלות את העסקה הראשונה [ע"א 8881/07 לב נ' טובי (נבו)].</w:t>
      </w:r>
    </w:p>
    <w:p>
      <w:pPr>
        <w:bidi/>
        <w:spacing w:after="40" w:before="0" w:line="360" w:lineRule="auto"/>
        <w:jc w:val="both"/>
      </w:pPr>
      <w:r>
        <w:rPr>
          <w:rFonts w:ascii="David" w:cs="David" w:eastAsia="David" w:hAnsi="David"/>
          <w:b w:val="false"/>
          <w:bCs w:val="false"/>
          <w:sz w:val="24"/>
          <w:szCs w:val="24"/>
          <w:rtl/>
        </w:rPr>
        <w:t xml:space="preserve">ביישום: ניר לא רשם הערה במשך ארבעה חודשים, אך לא ישב בחיבוק ידיים; הוא הסתמך על התחייבות מפורשת של רונית לטפל ברישום מול עורך דינה, ובעיקר קיבל חזקה בפועל בדירה, מפתח וקבלן מטעמו המבצע בה שיפוצים. חזקה גלויה לעין היא תחליף פרסום ממשי, ושירי, שהסתפקה בנסח ולא ביקרה בדירה שרכשה בארבעה מיליון ש"ח, יכלה לגלות את העסקה הראשונה בבדיקה פשוטה. בנסיבות אלה מחדלו של ניר אינו הגורם המכריע לתאונה, ואשמה של שירי אינו נופל ממנו. מסקנתי: עדיפותו של ניר לפי ס' 9 תיוותר על כנה, הוא שילם את מלוא התמורה והבעלות תירשם על שמו, והערת האזהרה של שירי תימחק. שירי תיוותר עם תביעות השבה ופיצוי בגין תרמית נגד רונית, שערכן מוטל בספק משנעלמה. תביעת פיצוי של שירי נגד ניר עצמו, על יסוד הפרת חובת תום הלב שבעניין גנז, אינה נשללת עקרונית, אך נוכח אשמה השקול שלה סביר שתידחה. לחלופין, אם יראה בית המשפט במחדל הרישום של ניר את הגורם המכריע, תגבר שירי בכפוף להשלמת התמורה, וניר ייוותר עם תביעה נגד רונית על מלוא ששילם.</w:t>
      </w:r>
    </w:p>
    <w:p>
      <w:pPr>
        <w:bidi/>
        <w:spacing w:after="40" w:before="160" w:line="360" w:lineRule="auto"/>
        <w:jc w:val="both"/>
      </w:pPr>
      <w:r>
        <w:rPr>
          <w:rFonts w:ascii="David" w:cs="David" w:eastAsia="David" w:hAnsi="David"/>
          <w:b/>
          <w:bCs/>
          <w:sz w:val="24"/>
          <w:szCs w:val="24"/>
          <w:u w:val="single"/>
          <w:rtl/>
        </w:rPr>
        <w:t xml:space="preserve">חלק שלישי, שאלה ד: דניאל מול החברה, הבעלות בדירות והפיצויים</w:t>
      </w:r>
    </w:p>
    <w:p>
      <w:pPr>
        <w:bidi/>
        <w:spacing w:after="40" w:before="0" w:line="360" w:lineRule="auto"/>
        <w:jc w:val="both"/>
      </w:pPr>
      <w:r>
        <w:rPr>
          <w:rFonts w:ascii="David" w:cs="David" w:eastAsia="David" w:hAnsi="David"/>
          <w:b w:val="false"/>
          <w:bCs w:val="false"/>
          <w:sz w:val="24"/>
          <w:szCs w:val="24"/>
          <w:rtl/>
        </w:rPr>
        <w:t xml:space="preserve">נקודת המוצא היא ששמעון פעל בזיוף ובמרמה, בחריגה מיפוי כוח שהוגבל להשכרה בלבד. רישום הדירות על שמו אינו מקנה לו דבר, שכן הוא עצמו רחוק מתום לב, והערות האזהרה שנרשמו לטובתו על יסוד הסכם מזויף בטלות אף הן. השאלה האמיתית היא אם החברה חוסה תחת תקנת השוק במקרקעין: מי שרכש זכות במקרקעין מוסדרים "בתמורה ובהסתמך בתום-לב על הרישום", זכותו עומדת אף אם הרישום לא היה נכון [ס' 10 לחוק המקרקעין]. הפסיקה קבעה שרכישה לעניין זה מושלמת רק ברישום הזכות על שם הרוכש, ושתום הלב וההסתמכות על הרישום נדרשים להתקיים עד להשלמת הרישום [ע"א 4609/99 בעלי מקצוע נכסים (1997) בע"מ נ' סונדרס, פ"ד נו(6) 632], והדברים יושמו גם ברכישות שביסודן מסמכים מזויפים [ע"א 767/11 להיגי נ' עזורי (נבו); ע"א 624/13 מורדכיוב נ' מינץ (נבו)].</w:t>
      </w:r>
    </w:p>
    <w:p>
      <w:pPr>
        <w:bidi/>
        <w:spacing w:after="40" w:before="0" w:line="360" w:lineRule="auto"/>
        <w:jc w:val="both"/>
      </w:pPr>
      <w:r>
        <w:rPr>
          <w:rFonts w:ascii="David" w:cs="David" w:eastAsia="David" w:hAnsi="David"/>
          <w:b w:val="false"/>
          <w:bCs w:val="false"/>
          <w:sz w:val="24"/>
          <w:szCs w:val="24"/>
          <w:rtl/>
        </w:rPr>
        <w:t xml:space="preserve">ביישום: בשלב כריתת ההסכם, תשלום מחצית התמורה ורישום הערות האזהרה (ינואר 2025), פעלה החברה בתום לב ובהסתמך על מרשם שהציג את שמעון כבעלים, ואף נקטה זהירות ראויה כשדרשה, בעצת עורכי דינה, שהדירות יירשמו תחילה על שמו. אולם במאי 2025, בטרם הוגשו מסמכי הרישום ובטרם שולמה יתרת התמורה, פנה דניאל למנכ"ל וטען במפורש שמעולם לא מכר את הבניין שבבעלותו. מאותו רגע ידעה החברה על טענה נוגדת ממשית, ותום לבה נשלל. השלמת הרישום זמן קצר לאחר מכן, בידיעה זו, איננה רכישה בתום לב ובהסתמך על הרישום, ולכן תקנת השוק אינה חלה. משנשללה הגנת ס' 10, אין בכוחו של הרישום להכשיר שרשרת שתחילתה זיוף, חרף היותו ראיה חותכת לכאורה [ס' 125(א) לחוק המקרקעין], והרישום יתוקן כך שהבעלות בעשר הדירות תושב לדניאל. טענה אפשרית של החברה שדניאל התרשל בפיקוח על מנהל נכסיו אינה משנה את התוצאה הקניינית.</w:t>
      </w:r>
    </w:p>
    <w:p>
      <w:pPr>
        <w:bidi/>
        <w:spacing w:after="40" w:before="0" w:line="360" w:lineRule="auto"/>
        <w:jc w:val="both"/>
      </w:pPr>
      <w:r>
        <w:rPr>
          <w:rFonts w:ascii="David" w:cs="David" w:eastAsia="David" w:hAnsi="David"/>
          <w:b w:val="false"/>
          <w:bCs w:val="false"/>
          <w:sz w:val="24"/>
          <w:szCs w:val="24"/>
          <w:rtl/>
        </w:rPr>
        <w:t xml:space="preserve">במישור הכספי: החברה זכאית להשבת עשרים המיליונים ששילמה ולפיצויי תרמית משמעון, זכות שערכה המעשי מוטל בספק משנעלם. לצד זאת פתוחה לפניה תביעת רשלנות נגד המדינה בגין רישום הערות האזהרה והעברת הבעלות על יסוד מסמכים מזויפים, שהרי ההנחה בעובדות היא שהרישום נעשה "בשל טעות רישומית" [פקודת הנזיקין [נוסח חדש]]. דניאל זכאי לתבוע משמעון את כספי השכירות שנותר חייב לו. ביחסי דניאל והחברה: החברה השביחה את הדירות בשיפוץ, ואם יבחר דניאל לקיים את ההשבחות עליו לשלם לחברה את השקעתה [ס' 21(ב) לחוק המקרקעין], ומנגד הוא זכאי לדמי שימוש ראויים בגין תקופת החזקתה בבניין. מסקנתי: הבעלות תושב לדניאל, והחברה תישא בהפסד בכפוף לתביעותיה נגד שמעון והמדינה ולשיפוי בגין ההשבחות.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2026-08-27T07:19:18.108Z</dcterms:created>
  <dcterms:modified xsi:type="dcterms:W3CDTF">2026-08-27T07:19:18.108Z</dcterms:modified>
</cp:coreProperties>
</file>

<file path=docProps/custom.xml><?xml version="1.0" encoding="utf-8"?>
<Properties xmlns="http://schemas.openxmlformats.org/officeDocument/2006/custom-properties" xmlns:vt="http://schemas.openxmlformats.org/officeDocument/2006/docPropsVTypes"/>
</file>