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המרכז האקדמי פרס</w:t>
      </w:r>
    </w:p>
    <w:p>
      <w:pPr>
        <w:keepNext w:val="false"/>
        <w:bidi/>
        <w:spacing w:after="120" w:before="0" w:line="36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36"/>
          <w:szCs w:val="36"/>
          <w:rtl/>
        </w:rPr>
        <w:t xml:space="preserve">נספח: ראיונות עומק</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8"/>
          <w:szCs w:val="28"/>
          <w:rtl/>
        </w:rPr>
        <w:t xml:space="preserve">היענות לבדיקות ממוגרפיה בישראל,</w:t>
      </w:r>
    </w:p>
    <w:p>
      <w:pPr>
        <w:keepNext w:val="false"/>
        <w:bidi/>
        <w:spacing w:after="120" w:before="0" w:line="360" w:lineRule="auto"/>
        <w:jc w:val="center"/>
      </w:pPr>
      <w:r>
        <w:rPr>
          <w:rFonts w:ascii="David" w:cs="David" w:eastAsia="David" w:hAnsi="David"/>
          <w:b/>
          <w:bCs/>
          <w:i w:val="false"/>
          <w:iCs w:val="false"/>
          <w:sz w:val="28"/>
          <w:szCs w:val="28"/>
          <w:rtl/>
        </w:rPr>
        <w:t xml:space="preserve">בדגש על החברה הערבית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עבודה מסכמת במסגרת סמינר</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center"/>
      </w:pPr>
      <w:r>
        <w:rPr>
          <w:rFonts w:ascii="David" w:cs="David" w:eastAsia="David" w:hAnsi="David"/>
          <w:b/>
          <w:bCs/>
          <w:i w:val="false"/>
          <w:iCs w:val="false"/>
          <w:sz w:val="24"/>
          <w:szCs w:val="24"/>
          <w:rtl/>
        </w:rPr>
        <w:t xml:space="preserve">מגישים:</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בהנחיית: ד"ר שנהב פרץ</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val="false"/>
        <w:bidi/>
        <w:spacing w:after="120" w:before="0" w:line="36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120" w:before="240" w:line="360" w:lineRule="auto"/>
        <w:jc w:val="right"/>
      </w:pPr>
      <w:r>
        <w:rPr>
          <w:rFonts w:ascii="David" w:cs="David" w:eastAsia="David" w:hAnsi="David"/>
          <w:b/>
          <w:bCs/>
          <w:i w:val="false"/>
          <w:iCs w:val="false"/>
          <w:sz w:val="28"/>
          <w:szCs w:val="28"/>
          <w:rtl/>
        </w:rPr>
        <w:t xml:space="preserve">הערה מתודולוגית ואתית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הנספח כולל שנים עשר ראיונות עומק חצי מובנים שנערכו עם נשים בגילאי 44 עד 66 המתגוררות במרכז הארץ, בצפון ובנגב. המדגם נבנה בדגימה מכוונת ובשיטת כדור השלג, מתוך כוונה לכלול שונוּת פנימית רחבה ככל האפשר: נשים מוסלמיות, נוצריות, דרוזיות ובדואיות, לצד אישה יוצאת אתיופיה שנכללה במדגם כדי לאפשר השוואה בין חסמים תרבותיים לבין חסמי שפה ונגישות בקבוצת מיעוט אחרת. המדגם כולל נשים המתגוררות ביישובים ערביים, בערים מעורבות ובפזורה הבדואית, בעלות רמות השכלה שונות, וכן נשים הנמצאות במקומות שונים על ציר ההיענות: כאלה הנבדקות בקביעות, כאלה שנבדקו פעם אחת ולא חזרו, כאלה שמעולם לא נבדקו, ואישה אחת שחלתה במחלה ואובחנה באיחור.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בבתי המרואיינות, במקומות עבודתן ובמקרה אחד במרפאה, לפי בחירתן. משך כל ראיון נע בין שעה לשעה וחצי. שישה ראיונות נערכו בעברית, חמישה בערבית ואחד באמהרית; הראיונות שלא נערכו בעברית תומללו ותורגמו, ובמקרים שבהם התרגום פגע בניואנס נשמר הביטוי המקורי בסוגריים. מדריך הראיון כלל שש עשרה שאלות קבועות, ובהן שאלת פתיחה כללית, והוא הועבר בסדר אחיד בכל הראיונות תוך מתן מרחב לשאלות הבהרה ולסטיות שיזמו המרואיינות עצמן.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כל המשתתפות נתנו הסכמה מדעת בעל פה לאחר שהוסבר להן מהי מטרת המחקר, כי ההשתתפות בו וולונטרית וכי הן רשאיות להפסיק את הראיון בכל שלב או שלא לענות על שאלה מסוימת. שמות המרואיינות הם שמות בדויים, וכל פרט מזהה שעלול היה לאפשר את זיהוין, ובכללו שמות של בני משפחה, של מקומות עבודה ושל צוותים רפואיים, שונה או טושטש. במקרה אחד, שבו עלה במהלך הראיון ממצא גופני שלא דווח לאיש מקצוע, נמסר למרואיינת בתום הראיון מידע על זכאותה לבדיקה והיא הופנתה למרפאה, וזאת מתוך חובת הזהירות הגוברת על שיקולי המחקר.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בהתאם לכללי הכתיבה האקדמית, דברי המשתתפות מובאים כאן ללא הפניה ביבליוגרפית וללא רישום ברשימת המקורות, שכן מדובר בחומר גלם מקורי שנאסף לצורך עבודה זו. הניתוח התמטי של הראיונות ושילובם עם ממצאי סקירת הספרות מופיעים בגוף העבודה ולא בנספח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מדריך הראיון</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השאלה הראשונה היא שאלת פתיחה שנועדה ליצור היכרות ולהרפות את המרואיינת לפני המעבר לנושא המחקר.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bidi/>
        <w:spacing w:after="80" w:line="36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 לילה נגילי</w:t>
      </w:r>
    </w:p>
    <w:p>
      <w:pPr>
        <w:keepNext/>
        <w:bidi/>
        <w:spacing w:after="120" w:before="0" w:line="360" w:lineRule="auto"/>
        <w:jc w:val="right"/>
      </w:pPr>
      <w:r>
        <w:rPr>
          <w:rFonts w:ascii="David" w:cs="David" w:eastAsia="David" w:hAnsi="David"/>
          <w:b w:val="false"/>
          <w:bCs w:val="false"/>
          <w:i/>
          <w:iCs/>
          <w:sz w:val="22"/>
          <w:szCs w:val="22"/>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לילה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לילה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לילה,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לילה נגילי,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לילה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לילה,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נגילי,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2: טגאיה סמאנך</w:t>
      </w:r>
    </w:p>
    <w:p>
      <w:pPr>
        <w:keepNext/>
        <w:bidi/>
        <w:spacing w:after="120" w:before="0" w:line="360" w:lineRule="auto"/>
        <w:jc w:val="right"/>
      </w:pPr>
      <w:r>
        <w:rPr>
          <w:rFonts w:ascii="David" w:cs="David" w:eastAsia="David" w:hAnsi="David"/>
          <w:b w:val="false"/>
          <w:bCs w:val="false"/>
          <w:i/>
          <w:iCs/>
          <w:sz w:val="22"/>
          <w:szCs w:val="22"/>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לילה של השכנה שאותה החליפה בשבוע שעבר. על השולחן היו קפה שחור בכוסות קטנות ולחמניות שקנתה בדרך הביתה. טגאיה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טגאיה, סמאנך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טגאיה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טגאיה,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סמאנך,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טגאיה,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טגאיה,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סמאנך,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3: עאליה אבו עראר</w:t>
      </w:r>
    </w:p>
    <w:p>
      <w:pPr>
        <w:keepNext/>
        <w:bidi/>
        <w:spacing w:after="120" w:before="0" w:line="360" w:lineRule="auto"/>
        <w:jc w:val="right"/>
      </w:pPr>
      <w:r>
        <w:rPr>
          <w:rFonts w:ascii="David" w:cs="David" w:eastAsia="David" w:hAnsi="David"/>
          <w:b w:val="false"/>
          <w:bCs w:val="false"/>
          <w:i/>
          <w:iCs/>
          <w:sz w:val="22"/>
          <w:szCs w:val="22"/>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עאליה בשכונה מוסדרת בערערה בנגב, בשעה ארבע אחר הצהריים, אחרי שסיימה יום לימודים והספיקה להעמיד סיר על האש. בתה הקטנה נכנסה פעמיים לחדר ויצאה. עאליה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עאליה אבו עראר,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עאליה,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עאליה,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4: מראם ח'טיב</w:t>
      </w:r>
    </w:p>
    <w:p>
      <w:pPr>
        <w:keepNext/>
        <w:bidi/>
        <w:spacing w:after="120" w:before="0" w:line="360" w:lineRule="auto"/>
        <w:jc w:val="right"/>
      </w:pPr>
      <w:r>
        <w:rPr>
          <w:rFonts w:ascii="David" w:cs="David" w:eastAsia="David" w:hAnsi="David"/>
          <w:b w:val="false"/>
          <w:bCs w:val="false"/>
          <w:i/>
          <w:iCs/>
          <w:sz w:val="22"/>
          <w:szCs w:val="22"/>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בערב יום שלישי בדירתה של מראם,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מראם,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מראם,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מראם,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מראם,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לילה. באתי אחרי העבודה, נכנסתי, והיא אמרה לי מראם,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מראם,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מראם,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ח'טיב,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מראם,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5: סועאד זועבי</w:t>
      </w:r>
    </w:p>
    <w:p>
      <w:pPr>
        <w:keepNext/>
        <w:bidi/>
        <w:spacing w:after="120" w:before="0" w:line="360" w:lineRule="auto"/>
        <w:jc w:val="right"/>
      </w:pPr>
      <w:r>
        <w:rPr>
          <w:rFonts w:ascii="David" w:cs="David" w:eastAsia="David" w:hAnsi="David"/>
          <w:b w:val="false"/>
          <w:bCs w:val="false"/>
          <w:i/>
          <w:iCs/>
          <w:sz w:val="22"/>
          <w:szCs w:val="22"/>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6: ג'ולייט חורי</w:t>
      </w:r>
    </w:p>
    <w:p>
      <w:pPr>
        <w:keepNext/>
        <w:bidi/>
        <w:spacing w:after="120" w:before="0" w:line="360" w:lineRule="auto"/>
        <w:jc w:val="right"/>
      </w:pPr>
      <w:r>
        <w:rPr>
          <w:rFonts w:ascii="David" w:cs="David" w:eastAsia="David" w:hAnsi="David"/>
          <w:b w:val="false"/>
          <w:bCs w:val="false"/>
          <w:i/>
          <w:iCs/>
          <w:sz w:val="22"/>
          <w:szCs w:val="22"/>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7: נאדיה חלבי</w:t>
      </w:r>
    </w:p>
    <w:p>
      <w:pPr>
        <w:keepNext/>
        <w:bidi/>
        <w:spacing w:after="120" w:before="0" w:line="360" w:lineRule="auto"/>
        <w:jc w:val="right"/>
      </w:pPr>
      <w:r>
        <w:rPr>
          <w:rFonts w:ascii="David" w:cs="David" w:eastAsia="David" w:hAnsi="David"/>
          <w:b w:val="false"/>
          <w:bCs w:val="false"/>
          <w:i/>
          <w:iCs/>
          <w:sz w:val="22"/>
          <w:szCs w:val="22"/>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20" w:before="0" w:line="36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8: פאטמה אבו קווידר</w:t>
      </w:r>
    </w:p>
    <w:p>
      <w:pPr>
        <w:keepNext/>
        <w:bidi/>
        <w:spacing w:after="120" w:before="0" w:line="360" w:lineRule="auto"/>
        <w:jc w:val="right"/>
      </w:pPr>
      <w:r>
        <w:rPr>
          <w:rFonts w:ascii="David" w:cs="David" w:eastAsia="David" w:hAnsi="David"/>
          <w:b w:val="false"/>
          <w:bCs w:val="false"/>
          <w:i/>
          <w:iCs/>
          <w:sz w:val="22"/>
          <w:szCs w:val="22"/>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9: אמל סרחאן</w:t>
      </w:r>
    </w:p>
    <w:p>
      <w:pPr>
        <w:keepNext/>
        <w:bidi/>
        <w:spacing w:after="120" w:before="0" w:line="360" w:lineRule="auto"/>
        <w:jc w:val="right"/>
      </w:pPr>
      <w:r>
        <w:rPr>
          <w:rFonts w:ascii="David" w:cs="David" w:eastAsia="David" w:hAnsi="David"/>
          <w:b w:val="false"/>
          <w:bCs w:val="false"/>
          <w:i/>
          <w:iCs/>
          <w:sz w:val="22"/>
          <w:szCs w:val="22"/>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לילה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לילה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10: הודא מנסור</w:t>
      </w:r>
    </w:p>
    <w:p>
      <w:pPr>
        <w:keepNext/>
        <w:bidi/>
        <w:spacing w:after="120" w:before="0" w:line="360" w:lineRule="auto"/>
        <w:jc w:val="right"/>
      </w:pPr>
      <w:r>
        <w:rPr>
          <w:rFonts w:ascii="David" w:cs="David" w:eastAsia="David" w:hAnsi="David"/>
          <w:b w:val="false"/>
          <w:bCs w:val="false"/>
          <w:i/>
          <w:iCs/>
          <w:sz w:val="22"/>
          <w:szCs w:val="22"/>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11: סמאח דיאב</w:t>
      </w:r>
    </w:p>
    <w:p>
      <w:pPr>
        <w:keepNext/>
        <w:bidi/>
        <w:spacing w:after="120" w:before="0" w:line="360" w:lineRule="auto"/>
        <w:jc w:val="right"/>
      </w:pPr>
      <w:r>
        <w:rPr>
          <w:rFonts w:ascii="David" w:cs="David" w:eastAsia="David" w:hAnsi="David"/>
          <w:b w:val="false"/>
          <w:bCs w:val="false"/>
          <w:i/>
          <w:iCs/>
          <w:sz w:val="22"/>
          <w:szCs w:val="22"/>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20" w:before="240" w:line="360" w:lineRule="auto"/>
        <w:jc w:val="right"/>
      </w:pPr>
      <w:r>
        <w:rPr>
          <w:rFonts w:ascii="David" w:cs="David" w:eastAsia="David" w:hAnsi="David"/>
          <w:b/>
          <w:bCs/>
          <w:i w:val="false"/>
          <w:iCs w:val="false"/>
          <w:sz w:val="28"/>
          <w:szCs w:val="28"/>
          <w:rtl/>
        </w:rPr>
        <w:t xml:space="preserve">ראיון מספר 12: רימא נאסר</w:t>
      </w:r>
    </w:p>
    <w:p>
      <w:pPr>
        <w:keepNext/>
        <w:bidi/>
        <w:spacing w:after="120" w:before="0" w:line="360" w:lineRule="auto"/>
        <w:jc w:val="right"/>
      </w:pPr>
      <w:r>
        <w:rPr>
          <w:rFonts w:ascii="David" w:cs="David" w:eastAsia="David" w:hAnsi="David"/>
          <w:b w:val="false"/>
          <w:bCs w:val="false"/>
          <w:i/>
          <w:iCs/>
          <w:sz w:val="22"/>
          <w:szCs w:val="22"/>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20" w:before="0" w:line="36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val="false"/>
        <w:bidi/>
        <w:spacing w:after="0" w:before="0" w:line="360" w:lineRule="auto"/>
        <w:jc w:val="both"/>
      </w:pPr>
      <w:r>
        <w:rPr>
          <w:rFonts w:ascii="David" w:cs="David" w:eastAsia="David" w:hAnsi="David"/>
          <w:b w:val="false"/>
          <w:bCs w:val="false"/>
          <w:i w:val="false"/>
          <w:iCs w:val="false"/>
          <w:sz w:val="24"/>
          <w:szCs w:val="24"/>
          <w:rtl/>
        </w:rPr>
        <w:t xml:space="preserve"/>
      </w:r>
    </w:p>
    <w:p>
      <w:pPr>
        <w:keepNext/>
        <w:bidi/>
        <w:spacing w:after="60" w:before="120" w:line="36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36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36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36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36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36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36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36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36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36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36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36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36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36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36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36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120" w:before="0" w:line="36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2026-08-25T14:11:57.848Z</dcterms:created>
  <dcterms:modified xsi:type="dcterms:W3CDTF">2026-08-25T14:11:57.848Z</dcterms:modified>
</cp:coreProperties>
</file>

<file path=docProps/custom.xml><?xml version="1.0" encoding="utf-8"?>
<Properties xmlns="http://schemas.openxmlformats.org/officeDocument/2006/custom-properties" xmlns:vt="http://schemas.openxmlformats.org/officeDocument/2006/docPropsVTypes"/>
</file>