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true"/>
        <w:spacing w:lineRule="auto" w:line="360" w:after="40" w:before="0"/>
        <w:jc w:val="center"/>
      </w:pPr>
      <w:r>
        <w:rPr>
          <w:rFonts w:ascii="David" w:hAnsi="David" w:cs="David"/>
          <w:b/>
          <w:sz w:val="30"/>
          <w:szCs w:val="30"/>
          <w:rtl w:val="true"/>
        </w:rPr>
        <w:t>אפיון מחקר כמותי בחינוך</w:t>
      </w:r>
    </w:p>
    <w:p>
      <w:pPr>
        <w:bidi w:val="true"/>
        <w:spacing w:lineRule="auto" w:line="360" w:after="20" w:before="0"/>
        <w:jc w:val="center"/>
      </w:pPr>
      <w:r>
        <w:rPr>
          <w:rFonts w:ascii="David" w:hAnsi="David" w:cs="David"/>
          <w:b/>
          <w:sz w:val="24"/>
          <w:szCs w:val="24"/>
          <w:rtl w:val="true"/>
        </w:rPr>
        <w:t>עמדות מורים כלפי הכלה והקשר שלהן לשחיקה מקצועית, בתיווך תחושת המסוגלות העצמית</w:t>
      </w:r>
    </w:p>
    <w:p>
      <w:pPr>
        <w:bidi w:val="true"/>
        <w:spacing w:lineRule="auto" w:line="360" w:after="160" w:before="0"/>
        <w:jc w:val="center"/>
      </w:pPr>
      <w:r>
        <w:rPr>
          <w:rFonts w:ascii="David" w:hAnsi="David" w:cs="David"/>
          <w:b w:val="0"/>
          <w:sz w:val="22"/>
          <w:szCs w:val="22"/>
          <w:rtl w:val="true"/>
        </w:rPr>
        <w:t>עבודה מסכמת בקורס "מחקר מתקדם בחינוך (שיטות מחקר כמותיות)"  |  סמסטר ב' תשפ"ו</w:t>
      </w:r>
    </w:p>
    <w:p>
      <w:pPr>
        <w:bidi w:val="true"/>
        <w:spacing w:lineRule="auto" w:line="360" w:after="60" w:before="140"/>
        <w:jc w:val="right"/>
      </w:pPr>
      <w:r>
        <w:rPr>
          <w:rFonts w:ascii="David" w:hAnsi="David" w:cs="David"/>
          <w:b/>
          <w:sz w:val="26"/>
          <w:szCs w:val="26"/>
          <w:rtl w:val="true"/>
        </w:rPr>
        <w:t>1. הנושא הנחקר, הגדרתו והקשר לעולם החינוך</w:t>
      </w:r>
    </w:p>
    <w:p>
      <w:pPr>
        <w:bidi w:val="true"/>
        <w:spacing w:lineRule="auto" w:line="360" w:after="80" w:before="0"/>
        <w:jc w:val="both"/>
      </w:pPr>
      <w:r>
        <w:rPr>
          <w:rFonts w:ascii="David" w:hAnsi="David" w:cs="David"/>
          <w:b w:val="0"/>
          <w:sz w:val="24"/>
          <w:szCs w:val="24"/>
          <w:rtl w:val="true"/>
        </w:rPr>
        <w:t>מדיניות ההכלה הפכה בעשור האחרון לברירת המחדל במערכת החינוך בישראל. חוק החינוך המיוחד ותיקוניו העבירו יותר ויותר תלמידים עם צרכים מיוחדים אל הכיתה הרגילה, והמורה שמול הכיתה הוא זה שאמור להפוך את המדיניות למשהו שעובד בפועל. שם, בעיניי, נמצא הלב של העניין. לא בחוק, אלא באדם שצריך ללמד כיתה הטרוגנית ושונה ממה שהכיר בתחילת דרכו.</w:t>
      </w:r>
    </w:p>
    <w:p>
      <w:pPr>
        <w:bidi w:val="true"/>
        <w:spacing w:lineRule="auto" w:line="360" w:after="80" w:before="0"/>
        <w:jc w:val="both"/>
      </w:pPr>
      <w:r>
        <w:rPr>
          <w:rFonts w:ascii="David" w:hAnsi="David" w:cs="David"/>
          <w:b w:val="0"/>
          <w:sz w:val="24"/>
          <w:szCs w:val="24"/>
          <w:rtl w:val="true"/>
        </w:rPr>
        <w:t>הנושא שבחרתי לחקור הוא הקשר בין עמדות של מורים בחינוך הרגיל כלפי הכלה של תלמידים עם צרכים מיוחדים לבין רמת השחיקה המקצועית שלהם, ומקומו של משתנה שלישי, תחושת המסוגלות העצמית ההוראתית, כמתווך בין השניים. ההגדרה הממוקדת היא אפוא בחינת הקשר עמדות-שחיקה בקרב מורי כיתות רגילות המלמדים תלמידים משולבים, ובדיקת מקומה של תחושת המסוגלות בקשר הזה.</w:t>
      </w:r>
    </w:p>
    <w:p>
      <w:pPr>
        <w:bidi w:val="true"/>
        <w:spacing w:lineRule="auto" w:line="360" w:after="80" w:before="0"/>
        <w:jc w:val="both"/>
      </w:pPr>
      <w:r>
        <w:rPr>
          <w:rFonts w:ascii="David" w:hAnsi="David" w:cs="David"/>
          <w:b w:val="0"/>
          <w:sz w:val="24"/>
          <w:szCs w:val="24"/>
          <w:rtl w:val="true"/>
        </w:rPr>
        <w:t>הזיקה לחינוך ישירה. הצלחת ההכלה תלויה במידה רבה בכך שהמורים יהיו חיוביים כלפיה, ומורה שרואה בשילוב נטל ולא שליחות יתקשה ליישם אותו הלכה למעשה (Avramidis &amp; Norwich, 2002). מנגד, השחיקה קשורה לנשירת מורים ולירידה באיכות ההוראה. אם עמדות שליליות מזינות שחיקה, יש לכך משמעות מעשית: אפשר להתערב דרך הכשרה וליווי, ולא רק לקונן על המחסור במורים. בחרתי בנושא מתוך עניין אישי ומתוך רצון לבדוק תופעה. לימדתי כיתה שבה שולבו תלמידים עם צרכים מיוחדים בלי הכשרה של ממש, וזכור לי היטב הפער בין הרצון לעשות טוב לבין התחושה שאני פשוט לא יודע איך.</w:t>
      </w:r>
    </w:p>
    <w:p>
      <w:pPr>
        <w:bidi w:val="true"/>
        <w:spacing w:lineRule="auto" w:line="360" w:after="60" w:before="140"/>
        <w:jc w:val="right"/>
      </w:pPr>
      <w:r>
        <w:rPr>
          <w:rFonts w:ascii="David" w:hAnsi="David" w:cs="David"/>
          <w:b/>
          <w:sz w:val="26"/>
          <w:szCs w:val="26"/>
          <w:rtl w:val="true"/>
        </w:rPr>
        <w:t>2. שאלות המחקר</w:t>
      </w:r>
    </w:p>
    <w:p>
      <w:pPr>
        <w:bidi w:val="true"/>
        <w:spacing w:lineRule="auto" w:line="360" w:after="40" w:before="0"/>
        <w:jc w:val="both"/>
      </w:pPr>
      <w:r>
        <w:rPr>
          <w:rFonts w:ascii="David" w:hAnsi="David" w:cs="David"/>
          <w:b/>
          <w:sz w:val="24"/>
          <w:szCs w:val="24"/>
          <w:rtl w:val="true"/>
        </w:rPr>
        <w:t xml:space="preserve">(1) </w:t>
      </w:r>
      <w:r>
        <w:rPr>
          <w:rFonts w:ascii="David" w:hAnsi="David" w:cs="David"/>
          <w:b w:val="0"/>
          <w:sz w:val="24"/>
          <w:szCs w:val="24"/>
          <w:rtl w:val="true"/>
        </w:rPr>
        <w:t>מהו הקשר בין עמדות מורים כלפי הכלה של תלמידים עם צרכים מיוחדים לבין רמת השחיקה המקצועית שלהם?</w:t>
      </w:r>
    </w:p>
    <w:p>
      <w:pPr>
        <w:bidi w:val="true"/>
        <w:spacing w:lineRule="auto" w:line="360" w:after="60" w:before="0"/>
        <w:jc w:val="both"/>
      </w:pPr>
      <w:r>
        <w:rPr>
          <w:rFonts w:ascii="David" w:hAnsi="David" w:cs="David"/>
          <w:b/>
          <w:sz w:val="24"/>
          <w:szCs w:val="24"/>
          <w:rtl w:val="true"/>
        </w:rPr>
        <w:t xml:space="preserve">(2) </w:t>
      </w:r>
      <w:r>
        <w:rPr>
          <w:rFonts w:ascii="David" w:hAnsi="David" w:cs="David"/>
          <w:b w:val="0"/>
          <w:sz w:val="24"/>
          <w:szCs w:val="24"/>
          <w:rtl w:val="true"/>
        </w:rPr>
        <w:t>האם תחושת המסוגלות העצמית ההוראתית מתווכת את הקשר בין העמדות כלפי הכלה לבין השחיקה המקצועית?</w:t>
      </w:r>
    </w:p>
    <w:p>
      <w:pPr>
        <w:bidi w:val="true"/>
        <w:spacing w:lineRule="auto" w:line="360" w:after="80" w:before="0"/>
        <w:jc w:val="both"/>
      </w:pPr>
      <w:r>
        <w:rPr>
          <w:rFonts w:ascii="David" w:hAnsi="David" w:cs="David"/>
          <w:b w:val="0"/>
          <w:sz w:val="24"/>
          <w:szCs w:val="24"/>
          <w:rtl w:val="true"/>
        </w:rPr>
        <w:t>בניסוח הקפדתי על העיקרון שנלמד בקורס: שאלת מחקר טובה חייבת להיות מובנת, מדויקת ומפורטת. פירוש הדבר שכל מושג בשאלה זקוק להגדרה, כדי שאני והנחקרים נדבר באותה שפה, מה נחשב 'הכלה', למי הכוונה ב'מורים', ומתי בדיוק נמדדת השחיקה. מעבר לזה, השאלות עוסקות בקשר בין משתנים ולא בתופעה בודדת, הן ניתנות לבדיקה אמפירית באמצעות נתונים מספריים, והן אינן קובעות מראש כיוון סיבתי. הראשונה בוחנת את עצם הקשר, השנייה את המנגנון שמאחוריו.</w:t>
      </w:r>
    </w:p>
    <w:p>
      <w:pPr>
        <w:bidi w:val="true"/>
        <w:spacing w:lineRule="auto" w:line="360" w:after="60" w:before="140"/>
        <w:jc w:val="right"/>
      </w:pPr>
      <w:r>
        <w:rPr>
          <w:rFonts w:ascii="David" w:hAnsi="David" w:cs="David"/>
          <w:b/>
          <w:sz w:val="26"/>
          <w:szCs w:val="26"/>
          <w:rtl w:val="true"/>
        </w:rPr>
        <w:t>3. השערות המחקר והבסיס האקדמי שלהן</w:t>
      </w:r>
    </w:p>
    <w:p>
      <w:pPr>
        <w:bidi w:val="true"/>
        <w:spacing w:lineRule="auto" w:line="360" w:after="40" w:before="0"/>
        <w:jc w:val="both"/>
      </w:pPr>
      <w:r>
        <w:rPr>
          <w:rFonts w:ascii="David" w:hAnsi="David" w:cs="David"/>
          <w:b/>
          <w:sz w:val="24"/>
          <w:szCs w:val="24"/>
          <w:rtl w:val="true"/>
        </w:rPr>
        <w:t xml:space="preserve">השערה 1: </w:t>
      </w:r>
      <w:r>
        <w:rPr>
          <w:rFonts w:ascii="David" w:hAnsi="David" w:cs="David"/>
          <w:b w:val="0"/>
          <w:sz w:val="24"/>
          <w:szCs w:val="24"/>
          <w:rtl w:val="true"/>
        </w:rPr>
        <w:t>קיים קשר שלילי בין עמדות כלפי הכלה לבין שחיקה מקצועית. ככל שעמדות המורה כלפי הכלה חיוביות יותר, כך רמת שחיקתו נמוכה יותר.</w:t>
      </w:r>
    </w:p>
    <w:p>
      <w:pPr>
        <w:bidi w:val="true"/>
        <w:spacing w:lineRule="auto" w:line="360" w:after="60" w:before="0"/>
        <w:jc w:val="both"/>
      </w:pPr>
      <w:r>
        <w:rPr>
          <w:rFonts w:ascii="David" w:hAnsi="David" w:cs="David"/>
          <w:b/>
          <w:sz w:val="24"/>
          <w:szCs w:val="24"/>
          <w:rtl w:val="true"/>
        </w:rPr>
        <w:t xml:space="preserve">השערה 2: </w:t>
      </w:r>
      <w:r>
        <w:rPr>
          <w:rFonts w:ascii="David" w:hAnsi="David" w:cs="David"/>
          <w:b w:val="0"/>
          <w:sz w:val="24"/>
          <w:szCs w:val="24"/>
          <w:rtl w:val="true"/>
        </w:rPr>
        <w:t>תחושת המסוגלות העצמית מתווכת את הקשר. עמדות חיוביות יותר מנבאות מסוגלות גבוהה יותר, וזו בתורה מנבאת שחיקה נמוכה יותר.</w:t>
      </w:r>
    </w:p>
    <w:p>
      <w:pPr>
        <w:bidi w:val="true"/>
        <w:spacing w:lineRule="auto" w:line="360" w:after="80" w:before="0"/>
        <w:jc w:val="both"/>
      </w:pPr>
      <w:r>
        <w:rPr>
          <w:rFonts w:ascii="David" w:hAnsi="David" w:cs="David"/>
          <w:b w:val="0"/>
          <w:sz w:val="24"/>
          <w:szCs w:val="24"/>
          <w:rtl w:val="true"/>
        </w:rPr>
        <w:t>ההשערות נשענות על ספרות. Avramidis ו-Norwich (2002) מראים שעמדות המורים כלפי שילוב מושפעות מהכשרה, מניסיון קודם ומתחושת היכולת של המורה להתמודד עם הכיתה, ומכאן הקשר בין עמדות למסוגלות. Tschannen-Moran ו-Woolfolk Hoy (2001) קושרים מסוגלות הוראתית גבוהה עם התמדה ומחויבות, ההפך משחיקה, ו-Maslach ועמיתיה (2001) מונים מסוגלות נמוכה כאחד הגורמים המזינים שחיקה. גם בשדה הישראלי, גליקו ובראון-לבינסון (2022) מצאו שמשאבים אישיים ובית-ספריים קשורים להתמודדות אדפטיבית ולשביעות רצון של מורים המלמדים תלמידים משולבים. משום שהתאוריה מכתיבה כיוון צפוי, ניסחתי את ההשערות ככיווניות ולא רק כקיום קשר.</w:t>
      </w:r>
    </w:p>
    <w:p>
      <w:pPr>
        <w:bidi w:val="true"/>
        <w:spacing w:lineRule="auto" w:line="360" w:after="60" w:before="140"/>
        <w:jc w:val="right"/>
      </w:pPr>
      <w:r>
        <w:rPr>
          <w:rFonts w:ascii="David" w:hAnsi="David" w:cs="David"/>
          <w:b/>
          <w:sz w:val="26"/>
          <w:szCs w:val="26"/>
          <w:rtl w:val="true"/>
        </w:rPr>
        <w:t>4. הגדרות נומינליות של המשתנים והמושגים</w:t>
      </w:r>
    </w:p>
    <w:p>
      <w:pPr>
        <w:bidi w:val="true"/>
        <w:spacing w:lineRule="auto" w:line="360" w:after="40" w:before="0"/>
        <w:jc w:val="both"/>
      </w:pPr>
      <w:r>
        <w:rPr>
          <w:rFonts w:ascii="David" w:hAnsi="David" w:cs="David"/>
          <w:b/>
          <w:sz w:val="24"/>
          <w:szCs w:val="24"/>
          <w:rtl w:val="true"/>
        </w:rPr>
        <w:t xml:space="preserve">הכלה (שילוב). </w:t>
      </w:r>
      <w:r>
        <w:rPr>
          <w:rFonts w:ascii="David" w:hAnsi="David" w:cs="David"/>
          <w:b w:val="0"/>
          <w:sz w:val="24"/>
          <w:szCs w:val="24"/>
          <w:rtl w:val="true"/>
        </w:rPr>
        <w:t>שילובם של תלמידים עם צרכים מיוחדים במסגרת הכיתה הרגילה, מתוך גישה שרואה בכך זכות ומתאימה את הסביבה הלימודית לתלמיד ולא להפך (Avramidis &amp; Norwich, 2002).</w:t>
      </w:r>
    </w:p>
    <w:p>
      <w:pPr>
        <w:bidi w:val="true"/>
        <w:spacing w:lineRule="auto" w:line="360" w:after="40" w:before="0"/>
        <w:jc w:val="both"/>
      </w:pPr>
      <w:r>
        <w:rPr>
          <w:rFonts w:ascii="David" w:hAnsi="David" w:cs="David"/>
          <w:b/>
          <w:sz w:val="24"/>
          <w:szCs w:val="24"/>
          <w:rtl w:val="true"/>
        </w:rPr>
        <w:t xml:space="preserve">עמדות. </w:t>
      </w:r>
      <w:r>
        <w:rPr>
          <w:rFonts w:ascii="David" w:hAnsi="David" w:cs="David"/>
          <w:b w:val="0"/>
          <w:sz w:val="24"/>
          <w:szCs w:val="24"/>
          <w:rtl w:val="true"/>
        </w:rPr>
        <w:t>נטייה נפשית נלמדת להעריך אובייקט, כאן ההכלה, באופן חיובי או שלילי. העמדה כוללת רכיב רגשי, קוגניטיבי והתנהגותי, ונמדדת כמידת החיוב שהמורה מייחס לרעיון ההכלה וליישומו (Avramidis &amp; Norwich, 2002).</w:t>
      </w:r>
    </w:p>
    <w:p>
      <w:pPr>
        <w:bidi w:val="true"/>
        <w:spacing w:lineRule="auto" w:line="360" w:after="40" w:before="0"/>
        <w:jc w:val="both"/>
      </w:pPr>
      <w:r>
        <w:rPr>
          <w:rFonts w:ascii="David" w:hAnsi="David" w:cs="David"/>
          <w:b/>
          <w:sz w:val="24"/>
          <w:szCs w:val="24"/>
          <w:rtl w:val="true"/>
        </w:rPr>
        <w:t xml:space="preserve">מסוגלות עצמית הוראתית. </w:t>
      </w:r>
      <w:r>
        <w:rPr>
          <w:rFonts w:ascii="David" w:hAnsi="David" w:cs="David"/>
          <w:b w:val="0"/>
          <w:sz w:val="24"/>
          <w:szCs w:val="24"/>
          <w:rtl w:val="true"/>
        </w:rPr>
        <w:t>אמונת המורה ביכולתו לארגן ולבצע את הפעולות הנדרשות כדי להשפיע על למידת התלמידים ועל התנהלות הכיתה, גם כשמדובר בתלמידים מאתגרים (Tschannen-Moran &amp; Woolfolk Hoy, 2001).</w:t>
      </w:r>
    </w:p>
    <w:p>
      <w:pPr>
        <w:bidi w:val="true"/>
        <w:spacing w:lineRule="auto" w:line="360" w:after="40" w:before="0"/>
        <w:jc w:val="both"/>
      </w:pPr>
      <w:r>
        <w:rPr>
          <w:rFonts w:ascii="David" w:hAnsi="David" w:cs="David"/>
          <w:b/>
          <w:sz w:val="24"/>
          <w:szCs w:val="24"/>
          <w:rtl w:val="true"/>
        </w:rPr>
        <w:t xml:space="preserve">שחיקה מקצועית. </w:t>
      </w:r>
      <w:r>
        <w:rPr>
          <w:rFonts w:ascii="David" w:hAnsi="David" w:cs="David"/>
          <w:b w:val="0"/>
          <w:sz w:val="24"/>
          <w:szCs w:val="24"/>
          <w:rtl w:val="true"/>
        </w:rPr>
        <w:t>תסמונת של מתח כרוני בעבודה, ולה שלוש פנים: תשישות רגשית, דה-פרסונליזציה (ריחוק מהתלמידים) ותחושת הישגיות אישית נמוכה (Maslach, Schaufeli &amp; Leiter, 2001).</w:t>
      </w:r>
    </w:p>
    <w:p>
      <w:pPr>
        <w:bidi w:val="true"/>
        <w:spacing w:lineRule="auto" w:line="360" w:after="80" w:before="0"/>
        <w:jc w:val="both"/>
      </w:pPr>
      <w:r>
        <w:rPr>
          <w:rFonts w:ascii="David" w:hAnsi="David" w:cs="David"/>
          <w:b w:val="0"/>
          <w:sz w:val="24"/>
          <w:szCs w:val="24"/>
          <w:rtl w:val="true"/>
        </w:rPr>
        <w:t>ההגדרות לעיל נשענות על חיפוש במאגרים אקדמיים (Google Scholar ו-ScienceDirect), ומהן נגזרות ההגדרות האופרציונליות, כלומר כלי המדידה של כל משתנה.</w:t>
      </w:r>
    </w:p>
    <w:p>
      <w:pPr>
        <w:bidi w:val="true"/>
        <w:spacing w:lineRule="auto" w:line="360" w:after="60" w:before="140"/>
        <w:jc w:val="right"/>
      </w:pPr>
      <w:r>
        <w:rPr>
          <w:rFonts w:ascii="David" w:hAnsi="David" w:cs="David"/>
          <w:b/>
          <w:sz w:val="26"/>
          <w:szCs w:val="26"/>
          <w:rtl w:val="true"/>
        </w:rPr>
        <w:t>5. המשתנים, סיווגם וכלי המדידה</w:t>
      </w:r>
    </w:p>
    <w:p>
      <w:pPr>
        <w:bidi w:val="true"/>
        <w:spacing w:lineRule="auto" w:line="360" w:after="80" w:before="0"/>
        <w:jc w:val="both"/>
      </w:pPr>
      <w:r>
        <w:rPr>
          <w:rFonts w:ascii="David" w:hAnsi="David" w:cs="David"/>
          <w:b w:val="0"/>
          <w:sz w:val="24"/>
          <w:szCs w:val="24"/>
          <w:rtl w:val="true"/>
        </w:rPr>
        <w:t>במחקר שלושה משתנים מרכזיים: המשתנה הבלתי תלוי הוא העמדות כלפי הכלה, המשתנה התלוי הוא השחיקה המקצועית, וביניהם ניצב משתנה מתווך, תחושת המסוגלות העצמית. לצדם ייאספו משתני רקע לבקרה, כמו ותק בהוראה, היקף הכשרה בחינוך מיוחד ומספר תלמידי השילוב בכיתה.</w:t>
      </w:r>
    </w:p>
    <w:p>
      <w:pPr>
        <w:bidi w:val="true"/>
        <w:spacing w:lineRule="auto" w:line="360" w:after="60" w:before="0"/>
        <w:jc w:val="both"/>
      </w:pPr>
      <w:r>
        <w:rPr>
          <w:rFonts w:ascii="David" w:hAnsi="David" w:cs="David"/>
          <w:b w:val="0"/>
          <w:sz w:val="24"/>
          <w:szCs w:val="24"/>
          <w:rtl w:val="true"/>
        </w:rPr>
        <w:t>נקודה שדורשת דיוק היא סיווג המשתנים. שלושת המשתנים המרכזיים נמדדים בשאלוני ליקרט, וברמת הפריט הבודד מדובר בסולם סודר: אפשר לדרג את התשובות, אך אי אפשר לקבוע שהמרחק בין 'מסכים' ל'מסכים מאוד' שווה למרחק בין 'מתנגד' ל'מתנגד מאוד'. עם זאת, את ציון הסולם המצרפי, שהוא ממוצע של פריטים רבים, מקובל לטפל כמשתנה כמותי רציף, וזה מה שמאפשר להריץ עליו מתאם ורגרסיה. משתני הרקע מגוונים: הוותק ומספר המשולבים כמותיים (רציף ובדיד), ואילו סוג ההכשרה והמגזר איכותיים שמיים. הטבלה מסכמת:</w:t>
      </w:r>
    </w:p>
    <w:tbl>
      <w:tblPr>
        <w:tblStyle w:val="TableGrid"/>
        <w:tblW w:type="auto" w:w="0"/>
        <w:jc w:val="center"/>
        <w:tblLook w:firstColumn="1" w:firstRow="1" w:lastColumn="0" w:lastRow="0" w:noHBand="0" w:noVBand="1" w:val="04A0"/>
        <w:bidiVisual/>
      </w:tblPr>
      <w:tblGrid>
        <w:gridCol w:w="2324"/>
        <w:gridCol w:w="2324"/>
        <w:gridCol w:w="2324"/>
        <w:gridCol w:w="2324"/>
      </w:tblGrid>
      <w:tr>
        <w:tc>
          <w:tcPr>
            <w:tcW w:type="dxa" w:w="2324"/>
          </w:tcPr>
          <w:p>
            <w:pPr>
              <w:bidi w:val="true"/>
              <w:spacing w:lineRule="auto" w:line="240" w:after="20" w:before="0"/>
              <w:jc w:val="right"/>
            </w:pPr>
            <w:r/>
            <w:r>
              <w:rPr>
                <w:rFonts w:ascii="David" w:hAnsi="David" w:cs="David"/>
                <w:b/>
                <w:sz w:val="20"/>
                <w:szCs w:val="20"/>
                <w:rtl w:val="true"/>
              </w:rPr>
              <w:t>המשתנה</w:t>
            </w:r>
          </w:p>
        </w:tc>
        <w:tc>
          <w:tcPr>
            <w:tcW w:type="dxa" w:w="2324"/>
          </w:tcPr>
          <w:p>
            <w:pPr>
              <w:bidi w:val="true"/>
              <w:spacing w:lineRule="auto" w:line="240" w:after="20" w:before="0"/>
              <w:jc w:val="right"/>
            </w:pPr>
            <w:r/>
            <w:r>
              <w:rPr>
                <w:rFonts w:ascii="David" w:hAnsi="David" w:cs="David"/>
                <w:b/>
                <w:sz w:val="20"/>
                <w:szCs w:val="20"/>
                <w:rtl w:val="true"/>
              </w:rPr>
              <w:t>תפקיד</w:t>
            </w:r>
          </w:p>
        </w:tc>
        <w:tc>
          <w:tcPr>
            <w:tcW w:type="dxa" w:w="2324"/>
          </w:tcPr>
          <w:p>
            <w:pPr>
              <w:bidi w:val="true"/>
              <w:spacing w:lineRule="auto" w:line="240" w:after="20" w:before="0"/>
              <w:jc w:val="right"/>
            </w:pPr>
            <w:r/>
            <w:r>
              <w:rPr>
                <w:rFonts w:ascii="David" w:hAnsi="David" w:cs="David"/>
                <w:b/>
                <w:sz w:val="20"/>
                <w:szCs w:val="20"/>
                <w:rtl w:val="true"/>
              </w:rPr>
              <w:t>סיווג וסוג הסולם</w:t>
            </w:r>
          </w:p>
        </w:tc>
        <w:tc>
          <w:tcPr>
            <w:tcW w:type="dxa" w:w="2324"/>
          </w:tcPr>
          <w:p>
            <w:pPr>
              <w:bidi w:val="true"/>
              <w:spacing w:lineRule="auto" w:line="240" w:after="20" w:before="0"/>
              <w:jc w:val="right"/>
            </w:pPr>
            <w:r/>
            <w:r>
              <w:rPr>
                <w:rFonts w:ascii="David" w:hAnsi="David" w:cs="David"/>
                <w:b/>
                <w:sz w:val="20"/>
                <w:szCs w:val="20"/>
                <w:rtl w:val="true"/>
              </w:rPr>
              <w:t>כלי המדידה</w:t>
            </w:r>
          </w:p>
        </w:tc>
      </w:tr>
      <w:tr>
        <w:tc>
          <w:tcPr>
            <w:tcW w:type="dxa" w:w="2324"/>
          </w:tcPr>
          <w:p>
            <w:pPr>
              <w:bidi w:val="true"/>
              <w:spacing w:lineRule="auto" w:line="240" w:after="20" w:before="0"/>
              <w:jc w:val="right"/>
            </w:pPr>
            <w:r/>
            <w:r>
              <w:rPr>
                <w:rFonts w:ascii="David" w:hAnsi="David" w:cs="David"/>
                <w:b w:val="0"/>
                <w:sz w:val="20"/>
                <w:szCs w:val="20"/>
                <w:rtl w:val="true"/>
              </w:rPr>
              <w:t>עמדות כלפי הכלה</w:t>
            </w:r>
          </w:p>
        </w:tc>
        <w:tc>
          <w:tcPr>
            <w:tcW w:type="dxa" w:w="2324"/>
          </w:tcPr>
          <w:p>
            <w:pPr>
              <w:bidi w:val="true"/>
              <w:spacing w:lineRule="auto" w:line="240" w:after="20" w:before="0"/>
              <w:jc w:val="right"/>
            </w:pPr>
            <w:r/>
            <w:r>
              <w:rPr>
                <w:rFonts w:ascii="David" w:hAnsi="David" w:cs="David"/>
                <w:b w:val="0"/>
                <w:sz w:val="20"/>
                <w:szCs w:val="20"/>
                <w:rtl w:val="true"/>
              </w:rPr>
              <w:t>בלתי תלוי (מנבא)</w:t>
            </w:r>
          </w:p>
        </w:tc>
        <w:tc>
          <w:tcPr>
            <w:tcW w:type="dxa" w:w="2324"/>
          </w:tcPr>
          <w:p>
            <w:pPr>
              <w:bidi w:val="true"/>
              <w:spacing w:lineRule="auto" w:line="240" w:after="20" w:before="0"/>
              <w:jc w:val="right"/>
            </w:pPr>
            <w:r/>
            <w:r>
              <w:rPr>
                <w:rFonts w:ascii="David" w:hAnsi="David" w:cs="David"/>
                <w:b w:val="0"/>
                <w:sz w:val="20"/>
                <w:szCs w:val="20"/>
                <w:rtl w:val="true"/>
              </w:rPr>
              <w:t>סולם סודר (ליקרט), הציון המצרפי מטופל כרציף</w:t>
            </w:r>
          </w:p>
        </w:tc>
        <w:tc>
          <w:tcPr>
            <w:tcW w:type="dxa" w:w="2324"/>
          </w:tcPr>
          <w:p>
            <w:pPr>
              <w:bidi w:val="true"/>
              <w:spacing w:lineRule="auto" w:line="240" w:after="20" w:before="0"/>
              <w:jc w:val="right"/>
            </w:pPr>
            <w:r/>
            <w:r>
              <w:rPr>
                <w:rFonts w:ascii="David" w:hAnsi="David" w:cs="David"/>
                <w:b w:val="0"/>
                <w:sz w:val="20"/>
                <w:szCs w:val="20"/>
                <w:rtl w:val="true"/>
              </w:rPr>
              <w:t>שאלון עמדות מדווח-עצמי (למשל SACIE-R), מתורגם ומותאם לעברית</w:t>
            </w:r>
          </w:p>
        </w:tc>
      </w:tr>
      <w:tr>
        <w:tc>
          <w:tcPr>
            <w:tcW w:type="dxa" w:w="2324"/>
          </w:tcPr>
          <w:p>
            <w:pPr>
              <w:bidi w:val="true"/>
              <w:spacing w:lineRule="auto" w:line="240" w:after="20" w:before="0"/>
              <w:jc w:val="right"/>
            </w:pPr>
            <w:r/>
            <w:r>
              <w:rPr>
                <w:rFonts w:ascii="David" w:hAnsi="David" w:cs="David"/>
                <w:b w:val="0"/>
                <w:sz w:val="20"/>
                <w:szCs w:val="20"/>
                <w:rtl w:val="true"/>
              </w:rPr>
              <w:t>שחיקה מקצועית</w:t>
            </w:r>
          </w:p>
        </w:tc>
        <w:tc>
          <w:tcPr>
            <w:tcW w:type="dxa" w:w="2324"/>
          </w:tcPr>
          <w:p>
            <w:pPr>
              <w:bidi w:val="true"/>
              <w:spacing w:lineRule="auto" w:line="240" w:after="20" w:before="0"/>
              <w:jc w:val="right"/>
            </w:pPr>
            <w:r/>
            <w:r>
              <w:rPr>
                <w:rFonts w:ascii="David" w:hAnsi="David" w:cs="David"/>
                <w:b w:val="0"/>
                <w:sz w:val="20"/>
                <w:szCs w:val="20"/>
                <w:rtl w:val="true"/>
              </w:rPr>
              <w:t>תלוי</w:t>
            </w:r>
          </w:p>
        </w:tc>
        <w:tc>
          <w:tcPr>
            <w:tcW w:type="dxa" w:w="2324"/>
          </w:tcPr>
          <w:p>
            <w:pPr>
              <w:bidi w:val="true"/>
              <w:spacing w:lineRule="auto" w:line="240" w:after="20" w:before="0"/>
              <w:jc w:val="right"/>
            </w:pPr>
            <w:r/>
            <w:r>
              <w:rPr>
                <w:rFonts w:ascii="David" w:hAnsi="David" w:cs="David"/>
                <w:b w:val="0"/>
                <w:sz w:val="20"/>
                <w:szCs w:val="20"/>
                <w:rtl w:val="true"/>
              </w:rPr>
              <w:t>סולם סודר (ליקרט), הציון המצרפי מטופל כרציף</w:t>
            </w:r>
          </w:p>
        </w:tc>
        <w:tc>
          <w:tcPr>
            <w:tcW w:type="dxa" w:w="2324"/>
          </w:tcPr>
          <w:p>
            <w:pPr>
              <w:bidi w:val="true"/>
              <w:spacing w:lineRule="auto" w:line="240" w:after="20" w:before="0"/>
              <w:jc w:val="right"/>
            </w:pPr>
            <w:r/>
            <w:r>
              <w:rPr>
                <w:rFonts w:ascii="David" w:hAnsi="David" w:cs="David"/>
                <w:b w:val="0"/>
                <w:sz w:val="20"/>
                <w:szCs w:val="20"/>
                <w:rtl w:val="true"/>
              </w:rPr>
              <w:t>שאלון השחיקה של מסלאך (Maslach Burnout Inventory)</w:t>
            </w:r>
          </w:p>
        </w:tc>
      </w:tr>
      <w:tr>
        <w:tc>
          <w:tcPr>
            <w:tcW w:type="dxa" w:w="2324"/>
          </w:tcPr>
          <w:p>
            <w:pPr>
              <w:bidi w:val="true"/>
              <w:spacing w:lineRule="auto" w:line="240" w:after="20" w:before="0"/>
              <w:jc w:val="right"/>
            </w:pPr>
            <w:r/>
            <w:r>
              <w:rPr>
                <w:rFonts w:ascii="David" w:hAnsi="David" w:cs="David"/>
                <w:b w:val="0"/>
                <w:sz w:val="20"/>
                <w:szCs w:val="20"/>
                <w:rtl w:val="true"/>
              </w:rPr>
              <w:t>מסוגלות עצמית הוראתית</w:t>
            </w:r>
          </w:p>
        </w:tc>
        <w:tc>
          <w:tcPr>
            <w:tcW w:type="dxa" w:w="2324"/>
          </w:tcPr>
          <w:p>
            <w:pPr>
              <w:bidi w:val="true"/>
              <w:spacing w:lineRule="auto" w:line="240" w:after="20" w:before="0"/>
              <w:jc w:val="right"/>
            </w:pPr>
            <w:r/>
            <w:r>
              <w:rPr>
                <w:rFonts w:ascii="David" w:hAnsi="David" w:cs="David"/>
                <w:b w:val="0"/>
                <w:sz w:val="20"/>
                <w:szCs w:val="20"/>
                <w:rtl w:val="true"/>
              </w:rPr>
              <w:t>מתווך</w:t>
            </w:r>
          </w:p>
        </w:tc>
        <w:tc>
          <w:tcPr>
            <w:tcW w:type="dxa" w:w="2324"/>
          </w:tcPr>
          <w:p>
            <w:pPr>
              <w:bidi w:val="true"/>
              <w:spacing w:lineRule="auto" w:line="240" w:after="20" w:before="0"/>
              <w:jc w:val="right"/>
            </w:pPr>
            <w:r/>
            <w:r>
              <w:rPr>
                <w:rFonts w:ascii="David" w:hAnsi="David" w:cs="David"/>
                <w:b w:val="0"/>
                <w:sz w:val="20"/>
                <w:szCs w:val="20"/>
                <w:rtl w:val="true"/>
              </w:rPr>
              <w:t>סולם סודר (ליקרט), הציון המצרפי מטופל כרציף</w:t>
            </w:r>
          </w:p>
        </w:tc>
        <w:tc>
          <w:tcPr>
            <w:tcW w:type="dxa" w:w="2324"/>
          </w:tcPr>
          <w:p>
            <w:pPr>
              <w:bidi w:val="true"/>
              <w:spacing w:lineRule="auto" w:line="240" w:after="20" w:before="0"/>
              <w:jc w:val="right"/>
            </w:pPr>
            <w:r/>
            <w:r>
              <w:rPr>
                <w:rFonts w:ascii="David" w:hAnsi="David" w:cs="David"/>
                <w:b w:val="0"/>
                <w:sz w:val="20"/>
                <w:szCs w:val="20"/>
                <w:rtl w:val="true"/>
              </w:rPr>
              <w:t>שאלון TSES (Tschannen-Moran &amp; Woolfolk Hoy, 2001)</w:t>
            </w:r>
          </w:p>
        </w:tc>
      </w:tr>
      <w:tr>
        <w:tc>
          <w:tcPr>
            <w:tcW w:type="dxa" w:w="2324"/>
          </w:tcPr>
          <w:p>
            <w:pPr>
              <w:bidi w:val="true"/>
              <w:spacing w:lineRule="auto" w:line="240" w:after="20" w:before="0"/>
              <w:jc w:val="right"/>
            </w:pPr>
            <w:r/>
            <w:r>
              <w:rPr>
                <w:rFonts w:ascii="David" w:hAnsi="David" w:cs="David"/>
                <w:b w:val="0"/>
                <w:sz w:val="20"/>
                <w:szCs w:val="20"/>
                <w:rtl w:val="true"/>
              </w:rPr>
              <w:t>ותק, הכשרה, מספר משולבים</w:t>
            </w:r>
          </w:p>
        </w:tc>
        <w:tc>
          <w:tcPr>
            <w:tcW w:type="dxa" w:w="2324"/>
          </w:tcPr>
          <w:p>
            <w:pPr>
              <w:bidi w:val="true"/>
              <w:spacing w:lineRule="auto" w:line="240" w:after="20" w:before="0"/>
              <w:jc w:val="right"/>
            </w:pPr>
            <w:r/>
            <w:r>
              <w:rPr>
                <w:rFonts w:ascii="David" w:hAnsi="David" w:cs="David"/>
                <w:b w:val="0"/>
                <w:sz w:val="20"/>
                <w:szCs w:val="20"/>
                <w:rtl w:val="true"/>
              </w:rPr>
              <w:t>רקע / בקרה</w:t>
            </w:r>
          </w:p>
        </w:tc>
        <w:tc>
          <w:tcPr>
            <w:tcW w:type="dxa" w:w="2324"/>
          </w:tcPr>
          <w:p>
            <w:pPr>
              <w:bidi w:val="true"/>
              <w:spacing w:lineRule="auto" w:line="240" w:after="20" w:before="0"/>
              <w:jc w:val="right"/>
            </w:pPr>
            <w:r/>
            <w:r>
              <w:rPr>
                <w:rFonts w:ascii="David" w:hAnsi="David" w:cs="David"/>
                <w:b w:val="0"/>
                <w:sz w:val="20"/>
                <w:szCs w:val="20"/>
                <w:rtl w:val="true"/>
              </w:rPr>
              <w:t>ותק ומספר משולבים: כמותי (רציף/בדיד); הכשרה ומגזר: איכותי שמי</w:t>
            </w:r>
          </w:p>
        </w:tc>
        <w:tc>
          <w:tcPr>
            <w:tcW w:type="dxa" w:w="2324"/>
          </w:tcPr>
          <w:p>
            <w:pPr>
              <w:bidi w:val="true"/>
              <w:spacing w:lineRule="auto" w:line="240" w:after="20" w:before="0"/>
              <w:jc w:val="right"/>
            </w:pPr>
            <w:r/>
            <w:r>
              <w:rPr>
                <w:rFonts w:ascii="David" w:hAnsi="David" w:cs="David"/>
                <w:b w:val="0"/>
                <w:sz w:val="20"/>
                <w:szCs w:val="20"/>
                <w:rtl w:val="true"/>
              </w:rPr>
              <w:t>שאלון פרטים דמוגרפיים ומקצועיים</w:t>
            </w:r>
          </w:p>
        </w:tc>
      </w:tr>
    </w:tbl>
    <w:p>
      <w:pPr>
        <w:bidi w:val="true"/>
        <w:spacing w:lineRule="auto" w:line="360" w:after="40" w:before="0"/>
        <w:jc w:val="both"/>
      </w:pPr>
      <w:r>
        <w:rPr>
          <w:rFonts w:ascii="David" w:hAnsi="David" w:cs="David"/>
          <w:b w:val="0"/>
          <w:sz w:val="24"/>
          <w:szCs w:val="24"/>
          <w:rtl w:val="true"/>
        </w:rPr>
      </w:r>
    </w:p>
    <w:p>
      <w:pPr>
        <w:bidi w:val="true"/>
        <w:spacing w:lineRule="auto" w:line="360" w:after="80" w:before="0"/>
        <w:jc w:val="both"/>
      </w:pPr>
      <w:r>
        <w:rPr>
          <w:rFonts w:ascii="David" w:hAnsi="David" w:cs="David"/>
          <w:b w:val="0"/>
          <w:sz w:val="24"/>
          <w:szCs w:val="24"/>
          <w:rtl w:val="true"/>
        </w:rPr>
        <w:t>בחירת הכלים אינה מקרית. שלושת המשתנים המרכזיים הם תפיסות פנימיות של המורה, ולכן הכלי הטבעי למדוד אותם הוא שאלון דיווח עצמי שמניב ציון מספרי. אילו רצינו למדוד עוררות פיזיולוגית של מתח היינו פונים לכלים כמו מדידת דופק או מוליכות עורית, אך כאן מדובר בעמדות ובאמונות, ואלה נמדדות היטב בשאלון.</w:t>
      </w:r>
    </w:p>
    <w:p>
      <w:pPr>
        <w:bidi w:val="true"/>
        <w:spacing w:lineRule="auto" w:line="360" w:after="60" w:before="140"/>
        <w:jc w:val="right"/>
      </w:pPr>
      <w:r>
        <w:rPr>
          <w:rFonts w:ascii="David" w:hAnsi="David" w:cs="David"/>
          <w:b/>
          <w:sz w:val="26"/>
          <w:szCs w:val="26"/>
          <w:rtl w:val="true"/>
        </w:rPr>
        <w:t>6. שיקולי תוקף ומהימנות</w:t>
      </w:r>
    </w:p>
    <w:p>
      <w:pPr>
        <w:bidi w:val="true"/>
        <w:spacing w:lineRule="auto" w:line="360" w:after="40" w:before="0"/>
        <w:jc w:val="both"/>
      </w:pPr>
      <w:r>
        <w:rPr>
          <w:rFonts w:ascii="David" w:hAnsi="David" w:cs="David"/>
          <w:b w:val="0"/>
          <w:sz w:val="24"/>
          <w:szCs w:val="24"/>
          <w:rtl w:val="true"/>
        </w:rPr>
        <w:t>בקורס הובחנו כמה מושגים שצריך לתת עליהם את הדעת כאן: מהימנות, הטיות, תוקף פנימי ותוקף חיצוני.</w:t>
      </w:r>
    </w:p>
    <w:p>
      <w:pPr>
        <w:bidi w:val="true"/>
        <w:spacing w:lineRule="auto" w:line="360" w:after="40" w:before="0"/>
        <w:jc w:val="both"/>
      </w:pPr>
      <w:r>
        <w:rPr>
          <w:rFonts w:ascii="David" w:hAnsi="David" w:cs="David"/>
          <w:b/>
          <w:sz w:val="24"/>
          <w:szCs w:val="24"/>
          <w:rtl w:val="true"/>
        </w:rPr>
        <w:t xml:space="preserve">מהימנות. </w:t>
      </w:r>
      <w:r>
        <w:rPr>
          <w:rFonts w:ascii="David" w:hAnsi="David" w:cs="David"/>
          <w:b w:val="0"/>
          <w:sz w:val="24"/>
          <w:szCs w:val="24"/>
          <w:rtl w:val="true"/>
        </w:rPr>
        <w:t>דיוק ועקביות של המדידה. שאלון מהימן הוא כזה שאם נעביר אותו שוב באותם תנאים נקבל בערך אותן תוצאות. אבדוק זאת במקדם אלפא של קרונבך לעקביות פנימית, ואם אפשר גם במבחן-חוזר לתת-מדגם. השאלונים שבחרתי מוכרים ובעלי מהימנות טובה בספרות (Tschannen-Moran &amp; Woolfolk Hoy, 2001).</w:t>
      </w:r>
    </w:p>
    <w:p>
      <w:pPr>
        <w:bidi w:val="true"/>
        <w:spacing w:lineRule="auto" w:line="360" w:after="40" w:before="0"/>
        <w:jc w:val="both"/>
      </w:pPr>
      <w:r>
        <w:rPr>
          <w:rFonts w:ascii="David" w:hAnsi="David" w:cs="David"/>
          <w:b/>
          <w:sz w:val="24"/>
          <w:szCs w:val="24"/>
          <w:rtl w:val="true"/>
        </w:rPr>
        <w:t xml:space="preserve">הטיות. </w:t>
      </w:r>
      <w:r>
        <w:rPr>
          <w:rFonts w:ascii="David" w:hAnsi="David" w:cs="David"/>
          <w:b w:val="0"/>
          <w:sz w:val="24"/>
          <w:szCs w:val="24"/>
          <w:rtl w:val="true"/>
        </w:rPr>
        <w:t>גורם שמסיט את תשובת הנחקר ומרחיק אותנו מהמציאות. ההטיה המרכזית כאן היא רצייה חברתית: מורה עלול לענות מה שנראה לו 'נכון' ולא מה שהוא באמת חושב, כי הנושא רגיש. אנונימיות מלאה וניסוח זהיר של הפריטים נועדו לצמצם זאת.</w:t>
      </w:r>
    </w:p>
    <w:p>
      <w:pPr>
        <w:bidi w:val="true"/>
        <w:spacing w:lineRule="auto" w:line="360" w:after="40" w:before="0"/>
        <w:jc w:val="both"/>
      </w:pPr>
      <w:r>
        <w:rPr>
          <w:rFonts w:ascii="David" w:hAnsi="David" w:cs="David"/>
          <w:b/>
          <w:sz w:val="24"/>
          <w:szCs w:val="24"/>
          <w:rtl w:val="true"/>
        </w:rPr>
        <w:t xml:space="preserve">תוקף פנימי. </w:t>
      </w:r>
      <w:r>
        <w:rPr>
          <w:rFonts w:ascii="David" w:hAnsi="David" w:cs="David"/>
          <w:b w:val="0"/>
          <w:sz w:val="24"/>
          <w:szCs w:val="24"/>
          <w:rtl w:val="true"/>
        </w:rPr>
        <w:t>השאלה אם באמת המשתנה הבלתי תלוי מסביר את מה שנצפה ולא גורם אחר. במחקר מתאמי התוקף הפנימי מוגבל מטבעו, כי איני שולט במשתנים ואיני יכול לשלול כיווני סיבתיות חלופיים, ולכן אבקר משתני רקע שעלולים להתערב.</w:t>
      </w:r>
    </w:p>
    <w:p>
      <w:pPr>
        <w:bidi w:val="true"/>
        <w:spacing w:lineRule="auto" w:line="360" w:after="80" w:before="0"/>
        <w:jc w:val="both"/>
      </w:pPr>
      <w:r>
        <w:rPr>
          <w:rFonts w:ascii="David" w:hAnsi="David" w:cs="David"/>
          <w:b/>
          <w:sz w:val="24"/>
          <w:szCs w:val="24"/>
          <w:rtl w:val="true"/>
        </w:rPr>
        <w:t xml:space="preserve">תוקף חיצוני. </w:t>
      </w:r>
      <w:r>
        <w:rPr>
          <w:rFonts w:ascii="David" w:hAnsi="David" w:cs="David"/>
          <w:b w:val="0"/>
          <w:sz w:val="24"/>
          <w:szCs w:val="24"/>
          <w:rtl w:val="true"/>
        </w:rPr>
        <w:t>היכולת להכליל מהמדגם אל האוכלוסייה, התלויה בכך שהמדגם יהיה מייצג. לצד זה, תוקף התוכן של השאלונים יובטח בשיפוט מומחים ותוקף המבנה ייבחן בניתוח גורמים, ושאלונים שתורגמו מאנגלית יעברו תרגום-חזרה. נקודת תורפה היא השונות המשותפת של השיטה: כשהכול נמדד באותו שאלון דיווח עצמי, חלק מהקשר עלול לנבוע מהשיטה ולא מהתוכן (בייט-מרום וצמח, 2014).</w:t>
      </w:r>
    </w:p>
    <w:p>
      <w:pPr>
        <w:bidi w:val="true"/>
        <w:spacing w:lineRule="auto" w:line="360" w:after="60" w:before="140"/>
        <w:jc w:val="right"/>
      </w:pPr>
      <w:r>
        <w:rPr>
          <w:rFonts w:ascii="David" w:hAnsi="David" w:cs="David"/>
          <w:b/>
          <w:sz w:val="26"/>
          <w:szCs w:val="26"/>
          <w:rtl w:val="true"/>
        </w:rPr>
        <w:t>7. האוכלוסייה הנחקרת ושיטת הדגימה</w:t>
      </w:r>
    </w:p>
    <w:p>
      <w:pPr>
        <w:bidi w:val="true"/>
        <w:spacing w:lineRule="auto" w:line="360" w:after="80" w:before="0"/>
        <w:jc w:val="both"/>
      </w:pPr>
      <w:r>
        <w:rPr>
          <w:rFonts w:ascii="David" w:hAnsi="David" w:cs="David"/>
          <w:b w:val="0"/>
          <w:sz w:val="24"/>
          <w:szCs w:val="24"/>
          <w:rtl w:val="true"/>
        </w:rPr>
        <w:t>אוכלוסיית המחקר היא מורים בבתי ספר יסודיים בחינוך הרגיל בישראל המלמדים בכיתות שבהן משולבים תלמידים עם צרכים מיוחדים. ההגדרה ממקדת את המחקר: לא כלל המורים, אלא דווקא אלה שנפגשים בפועל עם ההכלה בכיתתם, שכן רק אצלם יש טעם לשאול על עמדות כלפי תלמידים משולבים.</w:t>
      </w:r>
    </w:p>
    <w:p>
      <w:pPr>
        <w:bidi w:val="true"/>
        <w:spacing w:lineRule="auto" w:line="360" w:after="80" w:before="0"/>
        <w:jc w:val="both"/>
      </w:pPr>
      <w:r>
        <w:rPr>
          <w:rFonts w:ascii="David" w:hAnsi="David" w:cs="David"/>
          <w:b w:val="0"/>
          <w:sz w:val="24"/>
          <w:szCs w:val="24"/>
          <w:rtl w:val="true"/>
        </w:rPr>
        <w:t>מכיוון שאי אפשר להגיע לכל האוכלוסייה, תיערך דגימה. כפי שנלמד בקורס, מדגם טוב צריך להיות מקרי, מייצג וגדול דיו, ושלוש הדרישות האלה הנחו את הבחירה. אשתמש בדגימת אשכולות דו-שלבית: תחילה ייבחר מדגם של בתי ספר מתוך ריבוד לפי מחוז ומגזר, ואז ישתתפו כלל המורים הרלוונטיים בבתי הספר שנבחרו. האקראיות ברמת בית הספר שומרת על המקריות, הריבוד דואג לייצוג, וגודל מתוכנן של כ-300 מורים נותן את ה'גדול דיו' הדרוש לניתוח מודל תיווך ברגרסיה בעוצמה סטטיסטית סבירה (בייט-מרום וצמח, 2014).</w:t>
      </w:r>
    </w:p>
    <w:p>
      <w:pPr>
        <w:bidi w:val="true"/>
        <w:spacing w:lineRule="auto" w:line="360" w:after="60" w:before="140"/>
        <w:jc w:val="right"/>
      </w:pPr>
      <w:r>
        <w:rPr>
          <w:rFonts w:ascii="David" w:hAnsi="David" w:cs="David"/>
          <w:b/>
          <w:sz w:val="26"/>
          <w:szCs w:val="26"/>
          <w:rtl w:val="true"/>
        </w:rPr>
        <w:t>8. סוג המחקר וההנמקה</w:t>
      </w:r>
    </w:p>
    <w:p>
      <w:pPr>
        <w:bidi w:val="true"/>
        <w:spacing w:lineRule="auto" w:line="360" w:after="80" w:before="0"/>
        <w:jc w:val="both"/>
      </w:pPr>
      <w:r>
        <w:rPr>
          <w:rFonts w:ascii="David" w:hAnsi="David" w:cs="David"/>
          <w:b w:val="0"/>
          <w:sz w:val="24"/>
          <w:szCs w:val="24"/>
          <w:rtl w:val="true"/>
        </w:rPr>
        <w:t>המחקר הוא מחקר מתאמי (correlational), ולא ניסוי ולא מחקר משולב. קבעתי זאת לפי אמת מידה פשוטה: האם החוקר מבצע מניפולציה על המשתנה הבלתי תלוי, או רק מודד אותו כפי שהוא. כאן איני מחלק מורים אקראית לקבוצות ואיני משנה במכוון את עמדותיהם, אלא מודד עמדות, מסוגלות ושחיקה כפי שהן בשדה ובוחן את הקשרים ביניהן. היעדר מניפולציה והקצאה אקראית שולל סיווג כניסוי, ומכיוון שכל המשתנים כמותיים ונאספים בכלי אחיד, אין כאן גם שילוב של שיטה איכותנית. מבחינת הניתוח, הקשר בין העמדות לשחיקה ייבחן במקדם המתאם של פירסון ומודל התיווך ייבדק ברגרסיה, שני כלים שנלמדו בקורס ומתאימים בדיוק למחקר מתאמי. השימוש בתיווך אינו הופך את המחקר לניסויי, ולכן המסקנות יהיו על אודות קשרים ולא על אודות סיבתיות ודאית.</w:t>
      </w:r>
    </w:p>
    <w:p>
      <w:pPr>
        <w:bidi w:val="true"/>
        <w:spacing w:lineRule="auto" w:line="360" w:after="60" w:before="140"/>
        <w:jc w:val="right"/>
      </w:pPr>
      <w:r>
        <w:rPr>
          <w:rFonts w:ascii="David" w:hAnsi="David" w:cs="David"/>
          <w:b/>
          <w:sz w:val="26"/>
          <w:szCs w:val="26"/>
          <w:rtl w:val="true"/>
        </w:rPr>
        <w:t>9. אתגרים, בעיות ושיקולים אתיים</w:t>
      </w:r>
    </w:p>
    <w:p>
      <w:pPr>
        <w:bidi w:val="true"/>
        <w:spacing w:lineRule="auto" w:line="360" w:after="80" w:before="0"/>
        <w:jc w:val="both"/>
      </w:pPr>
      <w:r>
        <w:rPr>
          <w:rFonts w:ascii="David" w:hAnsi="David" w:cs="David"/>
          <w:b w:val="0"/>
          <w:sz w:val="24"/>
          <w:szCs w:val="24"/>
          <w:rtl w:val="true"/>
        </w:rPr>
        <w:t>האתגר המתודולוגי המרכזי הוא הסיבתיות. גם אם יימצא קשר שלילי חזק בין עמדות חיוביות לשחיקה, מבנה חתך-רוחבי אינו מכריע מה גורם למה: ייתכן שעמדות חיוביות מפחיתות שחיקה, וייתכן שמורה שחוק מפתח עמדות שליליות יותר. לצד זה יש אתגרים מעשיים, כמו שיעור היענות נמוך של מורים עמוסים ונשירת משתתפים לאורך המחקר, ששניהם עלולים לפגוע בייצוגיות המדגם.</w:t>
      </w:r>
    </w:p>
    <w:p>
      <w:pPr>
        <w:bidi w:val="true"/>
        <w:spacing w:lineRule="auto" w:line="360" w:after="80" w:before="0"/>
        <w:jc w:val="both"/>
      </w:pPr>
      <w:r>
        <w:rPr>
          <w:rFonts w:ascii="David" w:hAnsi="David" w:cs="David"/>
          <w:b w:val="0"/>
          <w:sz w:val="24"/>
          <w:szCs w:val="24"/>
          <w:rtl w:val="true"/>
        </w:rPr>
        <w:t>מן הצד האתי הנושא מחייב זהירות. יש להבטיח הסכמה מדעת, השתתפות מרצון ואפשרות לפרוש בכל שלב. אנונימיות מלאה חשובה כאן במיוחד, גם כדי להגן על המשתתפים וגם כדי לשחרר אותם לענות בכנות בלי חשש שהמנהל או הפיקוח יזהו אותם. נדרשים אישור ועדת האתיקה של המוסד ואישור הגורמים במשרד החינוך, ושמירה על חיסיון הנתונים.</w:t>
      </w:r>
    </w:p>
    <w:p>
      <w:pPr>
        <w:bidi w:val="true"/>
        <w:spacing w:lineRule="auto" w:line="360" w:after="80" w:before="0"/>
        <w:jc w:val="both"/>
      </w:pPr>
      <w:r>
        <w:rPr>
          <w:rFonts w:ascii="David" w:hAnsi="David" w:cs="David"/>
          <w:b w:val="0"/>
          <w:sz w:val="24"/>
          <w:szCs w:val="24"/>
          <w:rtl w:val="true"/>
        </w:rPr>
        <w:t>אתגר אתי נוסף, עדין יותר, הוא אופן הצגת הממצאים. תיאור מורים כבעלי עמדות שליליות כלפי הכלה עלול להתגלגל להאשמה של ציבור המורים, ולכן חשוב למסגר את הממצאים כתופעה מערכתית הקוראת לתמיכה ולהכשרה, ולא כשיפוט אישי של מי שנמצא בחזית.</w:t>
      </w:r>
    </w:p>
    <w:p>
      <w:pPr>
        <w:bidi w:val="true"/>
        <w:spacing w:lineRule="auto" w:line="360" w:after="60" w:before="140"/>
        <w:jc w:val="right"/>
      </w:pPr>
      <w:r>
        <w:rPr>
          <w:rFonts w:ascii="David" w:hAnsi="David" w:cs="David"/>
          <w:b/>
          <w:sz w:val="26"/>
          <w:szCs w:val="26"/>
          <w:rtl w:val="true"/>
        </w:rPr>
        <w:t>רשימת מקורות</w:t>
      </w:r>
    </w:p>
    <w:p>
      <w:pPr>
        <w:bidi w:val="true"/>
        <w:spacing w:lineRule="auto" w:line="360" w:after="60" w:before="0"/>
        <w:ind w:left="454" w:hanging="454"/>
        <w:jc w:val="both"/>
      </w:pPr>
      <w:r>
        <w:rPr>
          <w:rFonts w:ascii="David" w:hAnsi="David" w:cs="David"/>
          <w:b w:val="0"/>
          <w:sz w:val="24"/>
          <w:szCs w:val="24"/>
          <w:rtl w:val="true"/>
        </w:rPr>
        <w:t>בייט-מרום, ר' וצמח, מ' (2014). שיטות מחקר במדעי החברה. רעננה: האוניברסיטה הפתוחה.</w:t>
      </w:r>
    </w:p>
    <w:p>
      <w:pPr>
        <w:bidi w:val="true"/>
        <w:spacing w:lineRule="auto" w:line="360" w:after="60" w:before="0"/>
        <w:ind w:left="454" w:hanging="454"/>
        <w:jc w:val="both"/>
      </w:pPr>
      <w:r>
        <w:rPr>
          <w:rFonts w:ascii="David" w:hAnsi="David" w:cs="David"/>
          <w:b w:val="0"/>
          <w:sz w:val="24"/>
          <w:szCs w:val="24"/>
          <w:rtl w:val="true"/>
        </w:rPr>
        <w:t>דניאלס רחימי, א' (תשפ"ו). פרקי למידה בקורס "מחקר מתקדם בחינוך (שיטות מחקר כמותיות)". אור יהודה: הקריה האקדמית אונו.</w:t>
      </w:r>
    </w:p>
    <w:p>
      <w:pPr>
        <w:bidi w:val="true"/>
        <w:spacing w:lineRule="auto" w:line="360" w:after="60" w:before="0"/>
        <w:ind w:left="454" w:hanging="454"/>
        <w:jc w:val="both"/>
      </w:pPr>
      <w:r>
        <w:rPr>
          <w:rFonts w:ascii="David" w:hAnsi="David" w:cs="David"/>
          <w:b w:val="0"/>
          <w:sz w:val="24"/>
          <w:szCs w:val="24"/>
          <w:rtl w:val="true"/>
        </w:rPr>
        <w:t>גליקו, ע' ובראון-לבינסון, א' (2022). התמודדות מורים בחינוך הרגיל עם שילוב תלמידים עם צרכים מיוחדים בכיתתם: השוואה בין מורים מזרמי החינוך השונים. מפגש לעבודה חינוכית-סוציאלית, 54.</w:t>
      </w:r>
    </w:p>
    <w:p>
      <w:pPr>
        <w:bidi w:val="true"/>
        <w:spacing w:lineRule="auto" w:line="360" w:after="60" w:before="0"/>
        <w:ind w:left="454" w:hanging="454"/>
        <w:jc w:val="both"/>
      </w:pPr>
      <w:r>
        <w:rPr>
          <w:rFonts w:ascii="David" w:hAnsi="David" w:cs="David"/>
          <w:b w:val="0"/>
          <w:sz w:val="24"/>
          <w:szCs w:val="24"/>
          <w:rtl w:val="true"/>
        </w:rPr>
        <w:t>Avramidis, E., &amp; Norwich, B. (2002). Teachers' attitudes towards integration/inclusion: A review of the literature. European Journal of Special Needs Education, 17(2), 129-147.</w:t>
      </w:r>
    </w:p>
    <w:p>
      <w:pPr>
        <w:bidi w:val="true"/>
        <w:spacing w:lineRule="auto" w:line="360" w:after="60" w:before="0"/>
        <w:ind w:left="454" w:hanging="454"/>
        <w:jc w:val="both"/>
      </w:pPr>
      <w:r>
        <w:rPr>
          <w:rFonts w:ascii="David" w:hAnsi="David" w:cs="David"/>
          <w:b w:val="0"/>
          <w:sz w:val="24"/>
          <w:szCs w:val="24"/>
          <w:rtl w:val="true"/>
        </w:rPr>
        <w:t>Maslach, C., Schaufeli, W. B., &amp; Leiter, M. P. (2001). Job burnout. Annual Review of Psychology, 52, 397-422.</w:t>
      </w:r>
    </w:p>
    <w:p>
      <w:pPr>
        <w:bidi w:val="true"/>
        <w:spacing w:lineRule="auto" w:line="360" w:after="60" w:before="0"/>
        <w:ind w:left="454" w:hanging="454"/>
        <w:jc w:val="both"/>
      </w:pPr>
      <w:r>
        <w:rPr>
          <w:rFonts w:ascii="David" w:hAnsi="David" w:cs="David"/>
          <w:b w:val="0"/>
          <w:sz w:val="24"/>
          <w:szCs w:val="24"/>
          <w:rtl w:val="true"/>
        </w:rPr>
        <w:t>Tschannen-Moran, M., &amp; Woolfolk Hoy, A. (2001). Teacher efficacy: Capturing an elusive construct. Teaching and Teacher Education, 17(7), 783-805.</w:t>
      </w:r>
    </w:p>
    <w:sectPr w:rsidR="00FC693F" w:rsidRPr="0006063C" w:rsidSect="00034616">
      <w:pgSz w:w="11906" w:h="16838"/>
      <w:pgMar w:top="1134" w:right="1304" w:bottom="1134" w:left="130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