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מבחני החברות והתקנון מתקיימים: החברים הם עובדים שהצטרפו מרצונם, ולקבוצה תקנון. הקושי בשני המבחנים האחרים, שנבחנים לפי המהות ולא לפי הכותרות.</w:t>
      </w:r>
    </w:p>
    <w:p>
      <w:pPr>
        <w:bidi/>
        <w:spacing w:before="0" w:after="0"/>
        <w:jc w:val="both"/>
      </w:pP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בלבד, ומטרה ד' משקפת התנגדות עקרונית לייצוג 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ובמקביל פעל נגד ההסתדרות. גוף שהמעסיק תומך בו כך אינו "קול נגדי" לו.</w:t>
      </w:r>
    </w:p>
    <w:p>
      <w:pPr>
        <w:bidi/>
        <w:spacing w:before="0" w:after="0"/>
        <w:jc w:val="both"/>
      </w:pPr>
      <w:r>
        <w:rPr>
          <w:b/>
          <w:sz w:val="24"/>
          <w:rtl/>
          <w:szCs w:val="24"/>
          <w:bCs/>
        </w:rPr>
        <w:t>עניין נוקיה.</w:t>
      </w:r>
      <w:r>
        <w:rPr>
          <w:vertAlign w:val="superscript"/>
        </w:rPr>
        <w:footnoteReference w:id="4"/>
      </w:r>
      <w:r>
        <w:rPr>
          <w:sz w:val="24"/>
          <w:rtl/>
          <w:szCs w:val="24"/>
        </w:rPr>
        <w:t xml:space="preserve"> בית הדין הארצי יישם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5"/>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ההלכה אושרה בבג"ץ, ולפי הספרות היא כמעט איינה את יכולת המעסיק להתערב בהתארגנות הראשונית.</w:t>
      </w:r>
      <w:r>
        <w:rPr>
          <w:vertAlign w:val="superscript"/>
        </w:rPr>
        <w:footnoteReference w:id="6"/>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עומדת במבחן המטרה ובמבחן הקול הנגדי, כפי שנפסק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7"/>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הצעות חוזרות (סעיף 3(א)(3)) או התייחסות מבזה (סעיף 3(א)(5)) לא היו.</w:t>
      </w:r>
    </w:p>
    <w:p>
      <w:pPr>
        <w:bidi/>
        <w:spacing w:before="0" w:after="0"/>
        <w:jc w:val="both"/>
      </w:pPr>
      <w:r>
        <w:rPr>
          <w:sz w:val="24"/>
          <w:rtl/>
          <w:szCs w:val="24"/>
        </w:rPr>
        <w:t>השיחות התקיימו במשרד, ולכן ב"מסגרת יחסי עבודה". "הראה"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8"/>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9"/>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משתתפת בהחלטות השיבוץ ומשפיעה על 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0"/>
      </w:r>
      <w:r>
        <w:rPr>
          <w:sz w:val="24"/>
          <w:rtl/>
          <w:szCs w:val="24"/>
        </w:rPr>
        <w:t xml:space="preserve"> מכאן שהשתתפותו של אורי בשיחות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 ולהעביר לבירורו כל מקרה שנודע לה.</w:t>
      </w:r>
      <w:r>
        <w:rPr>
          <w:vertAlign w:val="superscript"/>
        </w:rPr>
        <w:footnoteReference w:id="11"/>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2"/>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3"/>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4"/>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שינוי חד-צדדי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 xml:space="preserve"> והפרה של חוזה העבודה.</w:t>
      </w:r>
      <w:r>
        <w:rPr>
          <w:vertAlign w:val="superscript"/>
        </w:rPr>
        <w:footnoteReference w:id="15"/>
      </w:r>
      <w:r>
        <w:rPr>
          <w:sz w:val="24"/>
          <w:rtl/>
          <w:szCs w:val="24"/>
        </w:rPr>
        <w:t xml:space="preserve"> העברתו של אורי לעריכה טכנית, בלי ישיבות קריאטיב, היא פגיעה במעמד אף ששכרו לא השתנה. שינוי ב"תיאור עיקרי התפקיד" מחייב הודעה בכתב בתוך 30 יום, ובהיעדרה הנטל עובר למעסיק.</w:t>
      </w:r>
      <w:r>
        <w:rPr>
          <w:vertAlign w:val="superscript"/>
        </w:rPr>
        <w:footnoteReference w:id="16"/>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17"/>
      </w:r>
      <w:r>
        <w:rPr>
          <w:sz w:val="24"/>
          <w:rtl/>
          <w:szCs w:val="24"/>
        </w:rPr>
        <w:t xml:space="preserve"> הזכאות עצמה מותנית בשנת עבודה אחת ברציפות אצל אותו מעסיק,</w:t>
      </w:r>
      <w:r>
        <w:rPr>
          <w:vertAlign w:val="superscript"/>
        </w:rPr>
        <w:footnoteReference w:id="18"/>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עניין גולן</w:t>
      </w:r>
      <w:r>
        <w:rPr>
          <w:vertAlign w:val="superscript"/>
        </w:rPr>
        <w:footnoteReference w:id="19"/>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התריע על כוונתו להתפטר ועבד ארבעה חודשים במתכונת החדשה. אף שהתקופה קצרה מזו שבעניין גולן, השתיקה מלמדת על השלמה.</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כי קשה להראות התייחסויות חוזרות למיניותו של אורי. טענת ההתנכלות חזקה יותר, בשל סעיפים 7 ו-9 לחוק שוויון ההזדמנויות. טענת ההתפטרות בדין מפוטר נכשלת בשל היעדר התראה והשיהוי (הלכת גולן).</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נ' ארגון עובדי הפיתוח והשיווק בנוקיה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נ' ארגון עובדי הפיתוח והשיווק בנוקיה (נבו 10.6.2025) (להלן: עניין נוקיה).</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