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line="360" w:lineRule="auto"/>
        <w:jc w:val="center"/>
      </w:pPr>
      <w:r>
        <w:rPr>
          <w:rFonts w:ascii="David" w:cs="David" w:hAnsi="David"/>
          <w:b/>
          <w:bCs/>
          <w:i w:val="false"/>
          <w:iCs w:val="false"/>
          <w:sz w:val="32"/>
          <w:szCs w:val="32"/>
          <w:rtl/>
        </w:rPr>
        <w:t xml:space="preserve">הקריה האקדמית אונו</w:t>
      </w:r>
    </w:p>
    <w:p>
      <w:pPr>
        <w:bidi/>
        <w:spacing w:after="120" w:before="0" w:line="360" w:lineRule="auto"/>
        <w:jc w:val="center"/>
      </w:pPr>
      <w:r>
        <w:rPr>
          <w:rFonts w:ascii="David" w:cs="David" w:hAnsi="David"/>
          <w:b w:val="false"/>
          <w:bCs w:val="false"/>
          <w:i w:val="false"/>
          <w:iCs w:val="false"/>
          <w:sz w:val="28"/>
          <w:szCs w:val="28"/>
          <w:rtl/>
        </w:rPr>
        <w:t xml:space="preserve">תואר שני בחינוך</w:t>
      </w:r>
    </w:p>
    <w:p>
      <w:pPr>
        <w:bidi/>
        <w:spacing w:after="600" w:before="0" w:line="360" w:lineRule="auto"/>
        <w:jc w:val="center"/>
      </w:pPr>
      <w:r>
        <w:rPr>
          <w:rFonts w:ascii="David" w:cs="David" w:hAnsi="David"/>
          <w:b w:val="false"/>
          <w:bCs w:val="false"/>
          <w:i w:val="false"/>
          <w:iCs w:val="false"/>
          <w:sz w:val="28"/>
          <w:szCs w:val="28"/>
          <w:rtl/>
        </w:rPr>
        <w:t xml:space="preserve">התמחות טכנולוגיות למידה ו-</w:t>
      </w:r>
      <w:r>
        <w:rPr>
          <w:rFonts w:ascii="Times New Roman" w:cs="Times New Roman" w:hAnsi="Times New Roman"/>
          <w:b w:val="false"/>
          <w:bCs w:val="false"/>
          <w:i w:val="false"/>
          <w:iCs w:val="false"/>
          <w:sz w:val="28"/>
          <w:szCs w:val="28"/>
          <w:rtl w:val="false"/>
        </w:rPr>
        <w:t xml:space="preserve">AI</w:t>
      </w:r>
    </w:p>
    <w:p>
      <w:pPr>
        <w:bidi/>
        <w:spacing w:after="400" w:before="0" w:line="360" w:lineRule="auto"/>
        <w:jc w:val="center"/>
      </w:pPr>
      <w:r>
        <w:rPr>
          <w:rFonts w:ascii="David" w:cs="David" w:hAnsi="David"/>
          <w:b/>
          <w:bCs/>
          <w:i w:val="false"/>
          <w:iCs w:val="false"/>
          <w:sz w:val="28"/>
          <w:szCs w:val="28"/>
          <w:rtl/>
        </w:rPr>
        <w:t xml:space="preserve">עבודת סמינריון: סקירת ספרות</w:t>
      </w:r>
    </w:p>
    <w:p>
      <w:pPr>
        <w:bidi/>
        <w:spacing w:after="600" w:before="0" w:line="360" w:lineRule="auto"/>
        <w:jc w:val="center"/>
      </w:pPr>
      <w:r>
        <w:rPr>
          <w:rFonts w:ascii="David" w:cs="David" w:hAnsi="David"/>
          <w:b/>
          <w:bCs/>
          <w:i w:val="false"/>
          <w:iCs w:val="false"/>
          <w:sz w:val="30"/>
          <w:szCs w:val="30"/>
          <w:rtl/>
        </w:rPr>
        <w:t xml:space="preserve">תפיסות ועמדות של מורי אנגלית כשפה זרה </w:t>
      </w:r>
      <w:r>
        <w:rPr>
          <w:rFonts w:ascii="Times New Roman" w:cs="Times New Roman" w:hAnsi="Times New Roman"/>
          <w:b/>
          <w:bCs/>
          <w:i w:val="false"/>
          <w:iCs w:val="false"/>
          <w:sz w:val="30"/>
          <w:szCs w:val="30"/>
          <w:rtl w:val="false"/>
        </w:rPr>
        <w:t xml:space="preserve">(EFL) </w:t>
      </w:r>
      <w:r>
        <w:rPr>
          <w:rFonts w:ascii="David" w:cs="David" w:hAnsi="David"/>
          <w:b/>
          <w:bCs/>
          <w:i w:val="false"/>
          <w:iCs w:val="false"/>
          <w:sz w:val="30"/>
          <w:szCs w:val="30"/>
          <w:rtl/>
        </w:rPr>
        <w:t xml:space="preserve">בבית הספר היסודי בישראל כלפי שילוב כלי בינה מלאכותית יוצרת בהוראת האנגלית</w:t>
      </w:r>
    </w:p>
    <w:p>
      <w:pPr>
        <w:bidi/>
        <w:spacing w:after="120" w:before="0" w:line="360" w:lineRule="auto"/>
        <w:jc w:val="center"/>
      </w:pPr>
      <w:r>
        <w:rPr>
          <w:rFonts w:ascii="David" w:cs="David" w:hAnsi="David"/>
          <w:b w:val="false"/>
          <w:bCs w:val="false"/>
          <w:i w:val="false"/>
          <w:iCs w:val="false"/>
          <w:sz w:val="24"/>
          <w:szCs w:val="24"/>
          <w:rtl/>
        </w:rPr>
        <w:t xml:space="preserve">שם הקורס: סמינר</w:t>
      </w:r>
    </w:p>
    <w:p>
      <w:pPr>
        <w:bidi/>
        <w:spacing w:after="120" w:before="0" w:line="360" w:lineRule="auto"/>
        <w:jc w:val="center"/>
      </w:pPr>
      <w:r>
        <w:rPr>
          <w:rFonts w:ascii="David" w:cs="David" w:hAnsi="David"/>
          <w:b w:val="false"/>
          <w:bCs w:val="false"/>
          <w:i w:val="false"/>
          <w:iCs w:val="false"/>
          <w:sz w:val="24"/>
          <w:szCs w:val="24"/>
          <w:rtl/>
        </w:rPr>
        <w:t xml:space="preserve">מגישה: ג'סיקה אבו קארם</w:t>
      </w:r>
    </w:p>
    <w:p>
      <w:pPr>
        <w:bidi/>
        <w:spacing w:after="120" w:before="0" w:line="360" w:lineRule="auto"/>
        <w:jc w:val="center"/>
      </w:pPr>
      <w:r>
        <w:rPr>
          <w:rFonts w:ascii="David" w:cs="David" w:hAnsi="David"/>
          <w:b w:val="false"/>
          <w:bCs w:val="false"/>
          <w:i w:val="false"/>
          <w:iCs w:val="false"/>
          <w:sz w:val="24"/>
          <w:szCs w:val="24"/>
          <w:rtl/>
        </w:rPr>
        <w:t xml:space="preserve">ת"ז: 321516262</w:t>
      </w:r>
    </w:p>
    <w:p>
      <w:pPr>
        <w:bidi/>
        <w:spacing w:after="120" w:before="0" w:line="360" w:lineRule="auto"/>
        <w:jc w:val="center"/>
      </w:pPr>
      <w:r>
        <w:rPr>
          <w:rFonts w:ascii="David" w:cs="David" w:hAnsi="David"/>
          <w:b w:val="false"/>
          <w:bCs w:val="false"/>
          <w:i w:val="false"/>
          <w:iCs w:val="false"/>
          <w:sz w:val="24"/>
          <w:szCs w:val="24"/>
          <w:rtl/>
        </w:rPr>
        <w:t xml:space="preserve">מנחה: ד"ר גילה לוי עצמון</w:t>
      </w:r>
    </w:p>
    <w:p>
      <w:pPr>
        <w:bidi/>
        <w:spacing w:after="120" w:before="0" w:line="360" w:lineRule="auto"/>
        <w:jc w:val="center"/>
      </w:pPr>
      <w:r>
        <w:rPr>
          <w:rFonts w:ascii="David" w:cs="David" w:hAnsi="David"/>
          <w:b w:val="false"/>
          <w:bCs w:val="false"/>
          <w:i w:val="false"/>
          <w:iCs w:val="false"/>
          <w:sz w:val="24"/>
          <w:szCs w:val="24"/>
          <w:rtl/>
        </w:rPr>
        <w:t xml:space="preserve">תאריך הגשה: אב תשפ"ו, אוגוסט 2026</w:t>
      </w:r>
    </w:p>
    <w:p>
      <w:pPr>
        <w:pageBreakBefore/>
        <w:bidi/>
        <w:spacing w:after="240" w:line="360" w:lineRule="auto"/>
        <w:jc w:val="both"/>
      </w:pPr>
      <w:r>
        <w:rPr>
          <w:rFonts w:ascii="David" w:cs="David" w:hAnsi="David"/>
          <w:b/>
          <w:bCs/>
          <w:i w:val="false"/>
          <w:iCs w:val="false"/>
          <w:sz w:val="28"/>
          <w:szCs w:val="28"/>
          <w:rtl/>
        </w:rPr>
        <w:t xml:space="preserve">סקירת ספרות</w:t>
      </w:r>
    </w:p>
    <w:p>
      <w:pPr>
        <w:bidi/>
        <w:spacing w:after="120" w:line="360" w:lineRule="auto"/>
        <w:jc w:val="both"/>
      </w:pPr>
      <w:r>
        <w:rPr>
          <w:rFonts w:ascii="David" w:cs="David" w:hAnsi="David"/>
          <w:b w:val="false"/>
          <w:bCs w:val="false"/>
          <w:i w:val="false"/>
          <w:iCs w:val="false"/>
          <w:sz w:val="24"/>
          <w:szCs w:val="24"/>
          <w:rtl/>
        </w:rPr>
        <w:t xml:space="preserve">כלי בינה מלאכותית יוצרת, ובראשם יישומים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נכנסו בשנים האחרונות אל שגרת העבודה של מורים בישראל ובעולם, ומערכת החינוך נדרשת להחליט כיצד לשלבם בהוראה ובלמידה (דשן ואחרים, 2026; משרד החינוך, 2025). הוראת האנגלית כשפה זרה היא זירה מעניינת במיוחד לבחינת השאלה הזו, משום שמדובר בטכנולוגיה שמייצרת שפה, כלומר בכלי הפועל בליבת התחום הנלמד עצמו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המחקר הנוכחי שואל כיצד תופסים מורי אנגלית בבית הספר היסודי בישראל את שילובם של כלי בינה מלאכותית יוצרת בהוראת האנגלית. סקירת הספרות בנויה מן הרחב אל הצר: היא פותחת בפדגוגיה חדשנית ובשילוב טכנולוגיות בלמידה, ממשיכה אל הבינה המלאכותית בחינוך, אל אוריינות ומוכנות לבינה מלאכותית ואל הוראת האנגלית בבית הספר היסודי, ומסיימת בתפיסות ובעמדות של מורים כלפי שילוב בינה מלאכותית, באתגרי היישום ובנושא הספציפי של המחקר.</w:t>
      </w:r>
    </w:p>
    <w:p>
      <w:pPr>
        <w:pageBreakBefore/>
        <w:bidi/>
        <w:spacing w:after="240" w:line="360" w:lineRule="auto"/>
        <w:jc w:val="both"/>
      </w:pPr>
      <w:r>
        <w:rPr>
          <w:rFonts w:ascii="David" w:cs="David" w:hAnsi="David"/>
          <w:b/>
          <w:bCs/>
          <w:i w:val="false"/>
          <w:iCs w:val="false"/>
          <w:sz w:val="28"/>
          <w:szCs w:val="28"/>
          <w:rtl/>
        </w:rPr>
        <w:t xml:space="preserve">1. פדגוגיה חדשנית</w:t>
      </w:r>
    </w:p>
    <w:p>
      <w:pPr>
        <w:bidi/>
        <w:spacing w:after="180" w:line="360" w:lineRule="auto"/>
        <w:jc w:val="both"/>
      </w:pPr>
      <w:r>
        <w:rPr>
          <w:rFonts w:ascii="David" w:cs="David" w:hAnsi="David"/>
          <w:b/>
          <w:bCs/>
          <w:i w:val="false"/>
          <w:iCs w:val="false"/>
          <w:sz w:val="24"/>
          <w:szCs w:val="24"/>
          <w:rtl/>
        </w:rPr>
        <w:t xml:space="preserve">1.1 הגדרות ועקרונות</w:t>
      </w:r>
    </w:p>
    <w:p>
      <w:pPr>
        <w:bidi/>
        <w:spacing w:after="120" w:line="360" w:lineRule="auto"/>
        <w:jc w:val="both"/>
      </w:pPr>
      <w:r>
        <w:rPr>
          <w:rFonts w:ascii="David" w:cs="David" w:hAnsi="David"/>
          <w:b w:val="false"/>
          <w:bCs w:val="false"/>
          <w:i w:val="false"/>
          <w:iCs w:val="false"/>
          <w:sz w:val="24"/>
          <w:szCs w:val="24"/>
          <w:rtl/>
        </w:rPr>
        <w:t xml:space="preserve">פדגוגיה חדשנית מתוארת בספרות המקצועית כתפיסת חינוך הוליסטית והומניסטית, שבמרכזה שלושה עקרונות: פרט, רציפות והתאמה לתקופה. עקרון הפרט משמעו התאמת הלמידה ליכולותיו, לצרכיו ולרצונותיו של הלומד, כך שהלומד מוביל את הלמידה של עצמו ולוקח עליה אחריות, בניגוד להוראה אחידה שבה כל הלומדים מתקדמים באותו קצב ובאותו מסלול. עקרון הרציפות מתייחס לרציפות של זמן ומקום, כלומר למידה שאינה מוגבלת לשיעור ולכיתה, לרציפות בין-תחומית המחברת בין תחומי דעת, ולמעגלי למידה המתרחבים מן הפרט אל הקבוצה ואל הקהילה. עקרון ההתאמה לתקופה נוגע לעדכון מתמיד של תוכני הלימוד ושל כלי ההוראה, כך שהלמידה תישאר רלוונטית לעולם שבו הלומד חי (לוי עצמון, 2024).</w:t>
      </w:r>
    </w:p>
    <w:p>
      <w:pPr>
        <w:bidi/>
        <w:spacing w:after="120" w:line="360" w:lineRule="auto"/>
        <w:jc w:val="both"/>
      </w:pPr>
      <w:r>
        <w:rPr>
          <w:rFonts w:ascii="David" w:cs="David" w:hAnsi="David"/>
          <w:b w:val="false"/>
          <w:bCs w:val="false"/>
          <w:i w:val="false"/>
          <w:iCs w:val="false"/>
          <w:sz w:val="24"/>
          <w:szCs w:val="24"/>
          <w:rtl/>
        </w:rPr>
        <w:t xml:space="preserve">היעד של תפיסה זו איננו שליטה בחומר בלבד אלא למידה איכותית: למידה פעילה ומשמעותית, שבה הלומד בונה ידע, מפתח הבנה עמוקה וחווה שייכות ומסוגלות (לוי עצמון, 2024). הגדרה זו של פדגוגיה חדשנית תשמש בסיס להמשך הסקירה, שכן שאלת שילובן של טכנולוגיות בכלל ושל בינה מלאכותית בפרט נבחנת בספרות תמיד ביחס לפדגוגיה שהטכנולוגיה אמורה לשרת </w:t>
      </w:r>
      <w:r>
        <w:rPr>
          <w:rFonts w:ascii="Times New Roman" w:cs="Times New Roman" w:hAnsi="Times New Roman"/>
          <w:b w:val="false"/>
          <w:bCs w:val="false"/>
          <w:i w:val="false"/>
          <w:iCs w:val="false"/>
          <w:sz w:val="24"/>
          <w:szCs w:val="24"/>
          <w:rtl w:val="false"/>
        </w:rPr>
        <w:t xml:space="preserve">(Prensky, 2008).</w:t>
      </w:r>
    </w:p>
    <w:p>
      <w:pPr>
        <w:bidi/>
        <w:spacing w:after="180" w:line="360" w:lineRule="auto"/>
        <w:jc w:val="both"/>
      </w:pPr>
      <w:r>
        <w:rPr>
          <w:rFonts w:ascii="David" w:cs="David" w:hAnsi="David"/>
          <w:b/>
          <w:bCs/>
          <w:i w:val="false"/>
          <w:iCs w:val="false"/>
          <w:sz w:val="24"/>
          <w:szCs w:val="24"/>
          <w:rtl/>
        </w:rPr>
        <w:t xml:space="preserve">1.2 פדגוגיה מוטת עתיד ומיומנויות המאה ה-21</w:t>
      </w:r>
    </w:p>
    <w:p>
      <w:pPr>
        <w:bidi/>
        <w:spacing w:after="120" w:line="360" w:lineRule="auto"/>
        <w:jc w:val="both"/>
      </w:pPr>
      <w:r>
        <w:rPr>
          <w:rFonts w:ascii="David" w:cs="David" w:hAnsi="David"/>
          <w:b w:val="false"/>
          <w:bCs w:val="false"/>
          <w:i w:val="false"/>
          <w:iCs w:val="false"/>
          <w:sz w:val="24"/>
          <w:szCs w:val="24"/>
          <w:rtl/>
        </w:rPr>
        <w:t xml:space="preserve">הרחבה מערכתית של אותה תפיסה מוצעת במסגרת הפדגוגיה מוטת העתיד שפיתח משרד החינוך. זוהי פדגוגיה הנגזרת מניתוח מגמות חברתיות, טכנולוגיות וכלכליות ומחיזוי התנהלותן, והיא מכוונת קדימה, אל צורכי העתיד של הלומדים. בבסיסה עומדת ההנחה שהחינוך חייב להיות רלוונטי ומשמעותי, להכשיר את הלומד למציאות עתידית שאינה ידועה מראש ולהצמיח בוגר משגשג. המסמך מגדיר עקרונות פעולה, ובהם פרסונליות, שיתופיות ואי-פורמליות, ומציע למערכת החינוך דרכי היערכות בתכנים, בדרכי ההוראה ובארגון הלמידה (מורגנשטרן ואחרים, 2020).</w:t>
      </w:r>
    </w:p>
    <w:p>
      <w:pPr>
        <w:bidi/>
        <w:spacing w:after="120" w:line="360" w:lineRule="auto"/>
        <w:jc w:val="both"/>
      </w:pPr>
      <w:r>
        <w:rPr>
          <w:rFonts w:ascii="David" w:cs="David" w:hAnsi="David"/>
          <w:b w:val="false"/>
          <w:bCs w:val="false"/>
          <w:i w:val="false"/>
          <w:iCs w:val="false"/>
          <w:sz w:val="24"/>
          <w:szCs w:val="24"/>
          <w:rtl/>
        </w:rPr>
        <w:t xml:space="preserve">במקביל התגבש בעולם השיח על מיומנויות המאה ה-21, כלומר על הכישורים שמערכת החינוך נדרשת לפתח כדי להכשיר את בוגריה לחיים ולעבודה בעולם משתנה. מתוך כלל המיומנויות הודגשו מיומנויות-על של למידה וחדשנות: תקשורתיות, שיתופיות, חשיבה ביקורתית ופתרון בעיות וחשיבה יצירתית. בעשור האחרון נתפסות מיומנויות אלה כחלק ממודל רחב יותר, מצפן הלמידה 2030 של ארגון ה-</w:t>
      </w:r>
      <w:r>
        <w:rPr>
          <w:rFonts w:ascii="Times New Roman" w:cs="Times New Roman" w:hAnsi="Times New Roman"/>
          <w:b w:val="false"/>
          <w:bCs w:val="false"/>
          <w:i w:val="false"/>
          <w:iCs w:val="false"/>
          <w:sz w:val="24"/>
          <w:szCs w:val="24"/>
          <w:rtl w:val="false"/>
        </w:rPr>
        <w:t xml:space="preserve">OECD, </w:t>
      </w:r>
      <w:r>
        <w:rPr>
          <w:rFonts w:ascii="David" w:cs="David" w:hAnsi="David"/>
          <w:b w:val="false"/>
          <w:bCs w:val="false"/>
          <w:i w:val="false"/>
          <w:iCs w:val="false"/>
          <w:sz w:val="24"/>
          <w:szCs w:val="24"/>
          <w:rtl/>
        </w:rPr>
        <w:t xml:space="preserve">המדגיש פיתוח משולב של ידע, מיומנויות קוגניטיביות, חברתיות, רגשיות ופיזיות, לצד עמדות וערכים, ומעמיד את השלומות </w:t>
      </w:r>
      <w:r>
        <w:rPr>
          <w:rFonts w:ascii="Times New Roman" w:cs="Times New Roman" w:hAnsi="Times New Roman"/>
          <w:b w:val="false"/>
          <w:bCs w:val="false"/>
          <w:i w:val="false"/>
          <w:iCs w:val="false"/>
          <w:sz w:val="24"/>
          <w:szCs w:val="24"/>
          <w:rtl w:val="false"/>
        </w:rPr>
        <w:t xml:space="preserve">(well-being) </w:t>
      </w:r>
      <w:r>
        <w:rPr>
          <w:rFonts w:ascii="David" w:cs="David" w:hAnsi="David"/>
          <w:b w:val="false"/>
          <w:bCs w:val="false"/>
          <w:i w:val="false"/>
          <w:iCs w:val="false"/>
          <w:sz w:val="24"/>
          <w:szCs w:val="24"/>
          <w:rtl/>
        </w:rPr>
        <w:t xml:space="preserve">של הלומד ושל החברה כיעד הסופי של הלמידה. המצפן מדגיש גם את סוכנות הלומד, כלומר את יכולתו להציב מטרות, לפעול באחריות ולהשפיע על סביבתו </w:t>
      </w:r>
      <w:r>
        <w:rPr>
          <w:rFonts w:ascii="Times New Roman" w:cs="Times New Roman" w:hAnsi="Times New Roman"/>
          <w:b w:val="false"/>
          <w:bCs w:val="false"/>
          <w:i w:val="false"/>
          <w:iCs w:val="false"/>
          <w:sz w:val="24"/>
          <w:szCs w:val="24"/>
          <w:rtl w:val="false"/>
        </w:rPr>
        <w:t xml:space="preserve">(OECD, 2019). </w:t>
      </w:r>
      <w:r>
        <w:rPr>
          <w:rFonts w:ascii="David" w:cs="David" w:hAnsi="David"/>
          <w:b w:val="false"/>
          <w:bCs w:val="false"/>
          <w:i w:val="false"/>
          <w:iCs w:val="false"/>
          <w:sz w:val="24"/>
          <w:szCs w:val="24"/>
          <w:rtl/>
        </w:rPr>
        <w:t xml:space="preserve">מיומנויות אלה, ובראשן החשיבה הביקורתית, יחזרו ויעלו בהמשך הסקירה כתנאי לשימוש מושכל בבינה מלאכותית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1.3 חדשנות פדגוגית, טכנולוגיה ושינוי תפקידי המורה והלומד</w:t>
      </w:r>
    </w:p>
    <w:p>
      <w:pPr>
        <w:bidi/>
        <w:spacing w:after="120" w:line="360" w:lineRule="auto"/>
        <w:jc w:val="both"/>
      </w:pPr>
      <w:r>
        <w:rPr>
          <w:rFonts w:ascii="David" w:cs="David" w:hAnsi="David"/>
          <w:b w:val="false"/>
          <w:bCs w:val="false"/>
          <w:i w:val="false"/>
          <w:iCs w:val="false"/>
          <w:sz w:val="24"/>
          <w:szCs w:val="24"/>
          <w:rtl/>
        </w:rPr>
        <w:t xml:space="preserve">פרנסקי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טוען שתפקידה של הטכנולוגיה בכיתה הוא אחד: לאפשר ללומדים ללמד את עצמם, בהנחיית המורה. לפי גישה זו הטכנולוגיה איננה מטרה ואיננה תחליף למורה, אלא מדיום שמאפשר קיומה של פדגוגיה חדשנית: הלומד הופך לפעיל, חוקר ואחראי על הבניית הידע שלו, והמורה עובר מתפקיד של מוסר ידע העומד מול הכיתה לתפקיד של מנחה, מכוון ומעצב סביבות למידה. פרנסקי מדגיש שכאשר הטכנולוגיה משמשת רק להמחשת ההרצאה של המורה, הפוטנציאל שלה מוחמץ, שכן השינוי האמיתי מתרחש כאשר הכלים נמצאים בידי הלומדים עצמם </w:t>
      </w:r>
      <w:r>
        <w:rPr>
          <w:rFonts w:ascii="Times New Roman" w:cs="Times New Roman" w:hAnsi="Times New Roman"/>
          <w:b w:val="false"/>
          <w:bCs w:val="false"/>
          <w:i w:val="false"/>
          <w:iCs w:val="false"/>
          <w:sz w:val="24"/>
          <w:szCs w:val="24"/>
          <w:rtl w:val="false"/>
        </w:rPr>
        <w:t xml:space="preserve">(Prensky, 2008).</w:t>
      </w:r>
    </w:p>
    <w:p>
      <w:pPr>
        <w:bidi/>
        <w:spacing w:after="120" w:line="360" w:lineRule="auto"/>
        <w:jc w:val="both"/>
      </w:pPr>
      <w:r>
        <w:rPr>
          <w:rFonts w:ascii="David" w:cs="David" w:hAnsi="David"/>
          <w:b w:val="false"/>
          <w:bCs w:val="false"/>
          <w:i w:val="false"/>
          <w:iCs w:val="false"/>
          <w:sz w:val="24"/>
          <w:szCs w:val="24"/>
          <w:rtl/>
        </w:rPr>
        <w:t xml:space="preserve">שינוי תפקידים זה הוא הרקע שעליו יש לבחון גם את כניסתה של הבינה המלאכותית היוצרת לכיתה. ככל שהטכנולוגיה עצמאית ומתוחכמת יותר, מתחדדת שאלת חלוקת העבודה בין המורה, הלומד והמכונה: אילו משימות ראוי להעביר לטכנולוגיה, אילו חייבות להישאר בידי האדם, וכיצד מבטיחים שהטכנולוגיה תתמוך בחשיבה של הלומד ולא תחליף אותה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בכך נבדלת הבינה המלאכותית מגלי טכנולוגיה קודמים, והדיון בה מחייב תחילה הבנה של הדרך שבה מערכות חינוך הטמיעו טכנולוגיות עד כה.</w:t>
      </w:r>
    </w:p>
    <w:p>
      <w:pPr>
        <w:pageBreakBefore/>
        <w:bidi/>
        <w:spacing w:after="240" w:line="360" w:lineRule="auto"/>
        <w:jc w:val="both"/>
      </w:pPr>
      <w:r>
        <w:rPr>
          <w:rFonts w:ascii="David" w:cs="David" w:hAnsi="David"/>
          <w:b/>
          <w:bCs/>
          <w:i w:val="false"/>
          <w:iCs w:val="false"/>
          <w:sz w:val="28"/>
          <w:szCs w:val="28"/>
          <w:rtl/>
        </w:rPr>
        <w:t xml:space="preserve">2. שילוב טכנולוגיות בלמידה</w:t>
      </w:r>
    </w:p>
    <w:p>
      <w:pPr>
        <w:bidi/>
        <w:spacing w:after="180" w:line="360" w:lineRule="auto"/>
        <w:jc w:val="both"/>
      </w:pPr>
      <w:r>
        <w:rPr>
          <w:rFonts w:ascii="David" w:cs="David" w:hAnsi="David"/>
          <w:b/>
          <w:bCs/>
          <w:i w:val="false"/>
          <w:iCs w:val="false"/>
          <w:sz w:val="24"/>
          <w:szCs w:val="24"/>
          <w:rtl/>
        </w:rPr>
        <w:t xml:space="preserve">2.1 סקירה היסטורית בקצרה</w:t>
      </w:r>
    </w:p>
    <w:p>
      <w:pPr>
        <w:bidi/>
        <w:spacing w:after="120" w:line="360" w:lineRule="auto"/>
        <w:jc w:val="both"/>
      </w:pPr>
      <w:r>
        <w:rPr>
          <w:rFonts w:ascii="David" w:cs="David" w:hAnsi="David"/>
          <w:b w:val="false"/>
          <w:bCs w:val="false"/>
          <w:i w:val="false"/>
          <w:iCs w:val="false"/>
          <w:sz w:val="24"/>
          <w:szCs w:val="24"/>
          <w:rtl/>
        </w:rPr>
        <w:t xml:space="preserve">הניסיונות לשלב טכנולוגיות דיגיטליות בהוראה מלווים את מערכות החינוך מזה עשורים: ממעבדות המחשבים והלומדות של שנות השמונים והתשעים, דרך המחשבים הניידים, המקרנים והלוחות האינטראקטיביים, ועד סביבות הלמידה המקוונות והמכשירים האישיים. עם זאת, קצב האימוץ בפועל היה לרוב איטי בהרבה מקצב ההתפתחות הטכנולוגית, והפער בין הציוד שנרכש ובין השימוש הפדגוגי שנעשה בו נותר אחת הבעיות המתועדות ביותר בתחום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ההסבר לפער זה אינו טכני בעיקרו: שילוב מוצלח תלוי בידע של המורה, בעמדותיו ובהקשר הארגוני שבו הוא פועל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נקודת מפנה התרחשה במגפת הקורונה, כאשר המעבר הכפוי להוראה מרחוק חייב את כלל המורים ומכשירי המורים להשתמש בכלים דיגיטליים בבת אחת. מחקר איכותני שנערך בישראל, שבמסגרתו רואיינו 25 בעלי תפקידים בכירים מ-13 מכללות להכשרת מורים, מצא שרובם (19 מתוך 25) תיארו את המגפה כחלון הזדמנויות לצמיחה ולהמצאה מחדש של ההוראה: מרצים "קפצו למים" ולמדו כלים חדשים, ושיעור ההשתתפות בהשתלמויות טכנולוגיות הוכפל, לאחר שלפני המגפה השתלמויות דומות עמדו כמעט ריקות. מיעוט מן המרואיינים חווה את התקופה דווקא כמשבר, ותיאר שיתוק, "כיבוי שרפות" והתמקדות בהישרדות (חיאק ואבידב-אונגר, 2022). המסקנה העולה מן המחקר היא שבעת משבר מצטמצם הקיטוב סביב סוגיות ארגוניות מהותיות, ונוצרת מציאות חדשה המשלבת בין הקטבים (חיאק ואבידב-אונגר, 2022).</w:t>
      </w:r>
    </w:p>
    <w:p>
      <w:pPr>
        <w:bidi/>
        <w:spacing w:after="180" w:line="360" w:lineRule="auto"/>
        <w:jc w:val="both"/>
      </w:pPr>
      <w:r>
        <w:rPr>
          <w:rFonts w:ascii="David" w:cs="David" w:hAnsi="David"/>
          <w:b/>
          <w:bCs/>
          <w:i w:val="false"/>
          <w:iCs w:val="false"/>
          <w:sz w:val="24"/>
          <w:szCs w:val="24"/>
          <w:rtl/>
        </w:rPr>
        <w:t xml:space="preserve">2.2 עקרונות להטמעה</w:t>
      </w:r>
    </w:p>
    <w:p>
      <w:pPr>
        <w:bidi/>
        <w:spacing w:after="120" w:line="360" w:lineRule="auto"/>
        <w:jc w:val="both"/>
      </w:pPr>
      <w:r>
        <w:rPr>
          <w:rFonts w:ascii="David" w:cs="David" w:hAnsi="David"/>
          <w:b w:val="false"/>
          <w:bCs w:val="false"/>
          <w:i w:val="false"/>
          <w:iCs w:val="false"/>
          <w:sz w:val="24"/>
          <w:szCs w:val="24"/>
          <w:rtl/>
        </w:rPr>
        <w:t xml:space="preserve">אותו מחקר מדגים את המתח המבני המרכזי של תהליכי הטמעה: הטמעה "מלמעלה למטה", ביוזמת ההנהלה והמדיניות, מול צמיחה "מלמטה למעלה", ביוזמת הסגל. 11 מן המרואיינים תיארו מדיניות מחייבת, למשל נשיא מכללה שחייב את כל הסגל להשתתף בהכשרות; 10 הדגישו את החופש האקדמי ואת היוזמה האישית של המרצים; וארבעה תמכו במפורש בשילוב בין הגישות, שכונה "מפגש רצונות" בין חזון ההנהלה ובין האוטונומיה של הסגל. תוצאה דומה עלתה גם בציר של שמרנות מול חדשנות: לצד רוב שתיאר מאמצי חדשנות נרחבים, יחידות חדשנות דיגיטלית, רכישת טכנולוגיות מתקדמות ותקציבי פיתוח מקצועי, תוארו גם קיבעון של חלק מהסגל, עומס דרישות ופערי מיומנויות בסיסיות (חיאק ואבידב-אונגר, 2022). המסקנה המעשית לקובעי מדיניות היא לעבור מניהול משבר להובלת שינוי, באמצעות בניית חזון משותף ודיאלוג פתוח עם הסגל (חיאק ואבידב-אונגר, 2022).</w:t>
      </w:r>
    </w:p>
    <w:p>
      <w:pPr>
        <w:bidi/>
        <w:spacing w:after="120" w:line="360" w:lineRule="auto"/>
        <w:jc w:val="both"/>
      </w:pPr>
      <w:r>
        <w:rPr>
          <w:rFonts w:ascii="David" w:cs="David" w:hAnsi="David"/>
          <w:b w:val="false"/>
          <w:bCs w:val="false"/>
          <w:i w:val="false"/>
          <w:iCs w:val="false"/>
          <w:sz w:val="24"/>
          <w:szCs w:val="24"/>
          <w:rtl/>
        </w:rPr>
        <w:t xml:space="preserve">עיקרון נוסף העולה מן הספרות הוא סדר הפעולות הנכון: נקודת המוצא היא הצורך הפדגוגי, והכלי הטכנולוגי נבחר בהתאם לו, ולא להפך. הטכנולוגיה נועדה לשרת את הפדגוגיה, לאפשר ללומד להוביל את הלמידה של עצמו ולהבנות ידע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עקרונות אלה, שגובשו סביב טכנולוגיות "רגילות", יעמדו למבחן מחודש עם כניסת הבינה המלאכותית היוצרת, שמאפייניה שונים מהותית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2.3 מודלים להערכת שילוב טכנולוגי: </w:t>
      </w:r>
      <w:r>
        <w:rPr>
          <w:rFonts w:ascii="Times New Roman" w:cs="Times New Roman" w:hAnsi="Times New Roman"/>
          <w:b/>
          <w:bCs/>
          <w:i w:val="false"/>
          <w:iCs w:val="false"/>
          <w:sz w:val="24"/>
          <w:szCs w:val="24"/>
          <w:rtl w:val="false"/>
        </w:rPr>
        <w:t xml:space="preserve">TPACK </w:t>
      </w:r>
      <w:r>
        <w:rPr>
          <w:rFonts w:ascii="David" w:cs="David" w:hAnsi="David"/>
          <w:b/>
          <w:bCs/>
          <w:i w:val="false"/>
          <w:iCs w:val="false"/>
          <w:sz w:val="24"/>
          <w:szCs w:val="24"/>
          <w:rtl/>
        </w:rPr>
        <w:t xml:space="preserve">ו-</w:t>
      </w:r>
      <w:r>
        <w:rPr>
          <w:rFonts w:ascii="Times New Roman" w:cs="Times New Roman" w:hAnsi="Times New Roman"/>
          <w:b/>
          <w:bCs/>
          <w:i w:val="false"/>
          <w:iCs w:val="false"/>
          <w:sz w:val="24"/>
          <w:szCs w:val="24"/>
          <w:rtl w:val="false"/>
        </w:rPr>
        <w:t xml:space="preserve">SAMR</w:t>
      </w:r>
    </w:p>
    <w:p>
      <w:pPr>
        <w:bidi/>
        <w:spacing w:after="120" w:line="360" w:lineRule="auto"/>
        <w:jc w:val="both"/>
      </w:pPr>
      <w:r>
        <w:rPr>
          <w:rFonts w:ascii="David" w:cs="David" w:hAnsi="David"/>
          <w:b w:val="false"/>
          <w:bCs w:val="false"/>
          <w:i w:val="false"/>
          <w:iCs w:val="false"/>
          <w:sz w:val="24"/>
          <w:szCs w:val="24"/>
          <w:rtl/>
        </w:rPr>
        <w:t xml:space="preserve">המסגרת המושגית המקובלת ביותר לתיאור הידע הנדרש למורה המשלב טכנולוגיה היא מודל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המודל מתאר שלושה מרחבי ידע: ידע תוכן </w:t>
      </w:r>
      <w:r>
        <w:rPr>
          <w:rFonts w:ascii="Times New Roman" w:cs="Times New Roman" w:hAnsi="Times New Roman"/>
          <w:b w:val="false"/>
          <w:bCs w:val="false"/>
          <w:i w:val="false"/>
          <w:iCs w:val="false"/>
          <w:sz w:val="24"/>
          <w:szCs w:val="24"/>
          <w:rtl w:val="false"/>
        </w:rPr>
        <w:t xml:space="preserve">(CK), </w:t>
      </w:r>
      <w:r>
        <w:rPr>
          <w:rFonts w:ascii="David" w:cs="David" w:hAnsi="David"/>
          <w:b w:val="false"/>
          <w:bCs w:val="false"/>
          <w:i w:val="false"/>
          <w:iCs w:val="false"/>
          <w:sz w:val="24"/>
          <w:szCs w:val="24"/>
          <w:rtl/>
        </w:rPr>
        <w:t xml:space="preserve">הידע בתחום הדעת הנלמד; ידע פדגוגי </w:t>
      </w:r>
      <w:r>
        <w:rPr>
          <w:rFonts w:ascii="Times New Roman" w:cs="Times New Roman" w:hAnsi="Times New Roman"/>
          <w:b w:val="false"/>
          <w:bCs w:val="false"/>
          <w:i w:val="false"/>
          <w:iCs w:val="false"/>
          <w:sz w:val="24"/>
          <w:szCs w:val="24"/>
          <w:rtl w:val="false"/>
        </w:rPr>
        <w:t xml:space="preserve">(PK), </w:t>
      </w:r>
      <w:r>
        <w:rPr>
          <w:rFonts w:ascii="David" w:cs="David" w:hAnsi="David"/>
          <w:b w:val="false"/>
          <w:bCs w:val="false"/>
          <w:i w:val="false"/>
          <w:iCs w:val="false"/>
          <w:sz w:val="24"/>
          <w:szCs w:val="24"/>
          <w:rtl/>
        </w:rPr>
        <w:t xml:space="preserve">הידע על הוראה, למידה וניהול כיתה; וידע טכנולוגי </w:t>
      </w:r>
      <w:r>
        <w:rPr>
          <w:rFonts w:ascii="Times New Roman" w:cs="Times New Roman" w:hAnsi="Times New Roman"/>
          <w:b w:val="false"/>
          <w:bCs w:val="false"/>
          <w:i w:val="false"/>
          <w:iCs w:val="false"/>
          <w:sz w:val="24"/>
          <w:szCs w:val="24"/>
          <w:rtl w:val="false"/>
        </w:rPr>
        <w:t xml:space="preserve">(TK), </w:t>
      </w:r>
      <w:r>
        <w:rPr>
          <w:rFonts w:ascii="David" w:cs="David" w:hAnsi="David"/>
          <w:b w:val="false"/>
          <w:bCs w:val="false"/>
          <w:i w:val="false"/>
          <w:iCs w:val="false"/>
          <w:sz w:val="24"/>
          <w:szCs w:val="24"/>
          <w:rtl/>
        </w:rPr>
        <w:t xml:space="preserve">ההיכרות עם הכלים הטכנולוגיים ועם אפשרויותיהם. מן החפיפות בין המרחבים נגזרים ידע פדגוגי-תוכני, ידע טכנולוגי-תוכני וידע טכנולוגי-פדגוגי, ובמרכז נמצא הידע הטכנולוגי-פדגוגי-תוכני: היכולת לבחור טכנולוגיה, לעצב בעזרתה הוראה ולהתאימה לתוכן הנלמד וללומדים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מישרה וקוהלר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מדגישים שרוב הטכנולוגיות שמורים משתמשים בהן, מרשתות חברתיות ועד תוכנות משרדיות, לא פותחו כלל לצרכים חינוכיים, ולכן נדרש מהמורה "מיחזור יצירתי" שלהן: להבין אילו כללים אפשר לכופף ואילו לשבור כדי להפוך כלי כללי לכלי הוראה. הם מדגימים זאת, בין השאר, בשימוש ברשת חברתית להרחבת הדיון הכיתתי ובתוכנת מוזיקה להוראת שברים ויחסים. עוד הם מדגישים שהמערכת נמצאת בשיווי משקל דינמי: שינוי באחד הרכיבים, למשל הופעת טכנולוגיה חדשה, מחייב התאמה מחודשת של הפדגוגיה ושל התוכן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בגרסה מעודכנת של המודל שודרג מעגל ההקשר, שהופיע בתרשים המקורי כרקע בלבד, למרחב ידע עצמאי: ידע הקשרי </w:t>
      </w:r>
      <w:r>
        <w:rPr>
          <w:rFonts w:ascii="Times New Roman" w:cs="Times New Roman" w:hAnsi="Times New Roman"/>
          <w:b w:val="false"/>
          <w:bCs w:val="false"/>
          <w:i w:val="false"/>
          <w:iCs w:val="false"/>
          <w:sz w:val="24"/>
          <w:szCs w:val="24"/>
          <w:rtl w:val="false"/>
        </w:rPr>
        <w:t xml:space="preserve">(Contextual Knowledge, XK). </w:t>
      </w:r>
      <w:r>
        <w:rPr>
          <w:rFonts w:ascii="David" w:cs="David" w:hAnsi="David"/>
          <w:b w:val="false"/>
          <w:bCs w:val="false"/>
          <w:i w:val="false"/>
          <w:iCs w:val="false"/>
          <w:sz w:val="24"/>
          <w:szCs w:val="24"/>
          <w:rtl/>
        </w:rPr>
        <w:t xml:space="preserve">זהו ידע המורה על בית הספר, על המדיניות המקומית והארצית, על המשאבים הזמינים ועל התרבות הארגונית שבתוכם הוא פועל. מישרה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טוען שהיעדר ידע הקשרי מגביל את הצלחתו של כל ניסיון לשילוב טכנולוגיה, גם כאשר המורה שולט בתוכן, בפדגוגיה ובטכנולוגיה, ושמורה בעל ידע הקשרי פועל כ"יזם פנים-ארגוני" המכיר את מנופי ההשפעה בארגונו ומסוגל להוביל שינוי בר-קיימא. הגדרת ההקשר כמרחב ידע נושאת גם משמעות מעשית: אפשר לפתח אותו, ללמד אותו ולמדוד אותו בהכשרת מורים, כמו כל רכיב אחר במודל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מודל משלים,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מציע סולם לבחינת עומק השילוב בארבע רמות: החלפה של אמצעי קיים ללא שינוי מהותי, הרחבה המוסיפה שיפור תפקודי, שינוי המעצב מחדש את המשימה, והגדרה מחדש המאפשרת משימות שלא היו אפשריות קודם </w:t>
      </w:r>
      <w:r>
        <w:rPr>
          <w:rFonts w:ascii="Times New Roman" w:cs="Times New Roman" w:hAnsi="Times New Roman"/>
          <w:b w:val="false"/>
          <w:bCs w:val="false"/>
          <w:i w:val="false"/>
          <w:iCs w:val="false"/>
          <w:sz w:val="24"/>
          <w:szCs w:val="24"/>
          <w:rtl w:val="false"/>
        </w:rPr>
        <w:t xml:space="preserve">(Puentedura, 2006). </w:t>
      </w:r>
      <w:r>
        <w:rPr>
          <w:rFonts w:ascii="David" w:cs="David" w:hAnsi="David"/>
          <w:b w:val="false"/>
          <w:bCs w:val="false"/>
          <w:i w:val="false"/>
          <w:iCs w:val="false"/>
          <w:sz w:val="24"/>
          <w:szCs w:val="24"/>
          <w:rtl/>
        </w:rPr>
        <w:t xml:space="preserve">מודלים אלה מתמקדים בידע ובפרקטיקה של המורה; מודלים שעניינם קבלת הטכנולוגיה על ידי המשתמש,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יידונו בפרק השישי.</w:t>
      </w:r>
    </w:p>
    <w:p>
      <w:pPr>
        <w:pageBreakBefore/>
        <w:bidi/>
        <w:spacing w:after="240" w:line="360" w:lineRule="auto"/>
        <w:jc w:val="both"/>
      </w:pPr>
      <w:r>
        <w:rPr>
          <w:rFonts w:ascii="David" w:cs="David" w:hAnsi="David"/>
          <w:b/>
          <w:bCs/>
          <w:i w:val="false"/>
          <w:iCs w:val="false"/>
          <w:sz w:val="28"/>
          <w:szCs w:val="28"/>
          <w:rtl/>
        </w:rPr>
        <w:t xml:space="preserve">3. בינה מלאכותית בחינוך</w:t>
      </w:r>
    </w:p>
    <w:p>
      <w:pPr>
        <w:bidi/>
        <w:spacing w:after="180" w:line="360" w:lineRule="auto"/>
        <w:jc w:val="both"/>
      </w:pPr>
      <w:r>
        <w:rPr>
          <w:rFonts w:ascii="David" w:cs="David" w:hAnsi="David"/>
          <w:b/>
          <w:bCs/>
          <w:i w:val="false"/>
          <w:iCs w:val="false"/>
          <w:sz w:val="24"/>
          <w:szCs w:val="24"/>
          <w:rtl/>
        </w:rPr>
        <w:t xml:space="preserve">3.1 עקרונות טכנולוגיים ובינה מלאכותית יוצרת</w:t>
      </w:r>
    </w:p>
    <w:p>
      <w:pPr>
        <w:bidi/>
        <w:spacing w:after="120" w:line="360" w:lineRule="auto"/>
        <w:jc w:val="both"/>
      </w:pPr>
      <w:r>
        <w:rPr>
          <w:rFonts w:ascii="David" w:cs="David" w:hAnsi="David"/>
          <w:b w:val="false"/>
          <w:bCs w:val="false"/>
          <w:i w:val="false"/>
          <w:iCs w:val="false"/>
          <w:sz w:val="24"/>
          <w:szCs w:val="24"/>
          <w:rtl/>
        </w:rPr>
        <w:t xml:space="preserve">בינה מלאכותית היא תוכנת מחשב המדמה תהליכי חשיבה אנושיים לשם ביצוע משימות. פעולתה נשענת על ארבעה עקרונות: כריית נתונים בהיקפים גדולים; זיהוי דפוסים והקשרים המאפשר חיזוי מגמות; למידת מכונה, שבה המערכת משפרת את ביצועיה מתוך הנתונים עצמם; ואוטונומיה, כלומר קבלת החלטות עצמאית על בסיס ניתוח הנתונים, תוך למידה, התפתחות ותגובה בזמן אמת </w:t>
      </w:r>
      <w:r>
        <w:rPr>
          <w:rFonts w:ascii="Times New Roman" w:cs="Times New Roman" w:hAnsi="Times New Roman"/>
          <w:b w:val="false"/>
          <w:bCs w:val="false"/>
          <w:i w:val="false"/>
          <w:iCs w:val="false"/>
          <w:sz w:val="24"/>
          <w:szCs w:val="24"/>
          <w:rtl w:val="false"/>
        </w:rPr>
        <w:t xml:space="preserve">(Holmes &amp; Miao, 2023).</w:t>
      </w:r>
    </w:p>
    <w:p>
      <w:pPr>
        <w:bidi/>
        <w:spacing w:after="120" w:line="360" w:lineRule="auto"/>
        <w:jc w:val="both"/>
      </w:pPr>
      <w:r>
        <w:rPr>
          <w:rFonts w:ascii="David" w:cs="David" w:hAnsi="David"/>
          <w:b w:val="false"/>
          <w:bCs w:val="false"/>
          <w:i w:val="false"/>
          <w:iCs w:val="false"/>
          <w:sz w:val="24"/>
          <w:szCs w:val="24"/>
          <w:rtl/>
        </w:rPr>
        <w:t xml:space="preserve">בינה מלאכותית יוצרת </w:t>
      </w:r>
      <w:r>
        <w:rPr>
          <w:rFonts w:ascii="Times New Roman" w:cs="Times New Roman" w:hAnsi="Times New Roman"/>
          <w:b w:val="false"/>
          <w:bCs w:val="false"/>
          <w:i w:val="false"/>
          <w:iCs w:val="false"/>
          <w:sz w:val="24"/>
          <w:szCs w:val="24"/>
          <w:rtl w:val="false"/>
        </w:rPr>
        <w:t xml:space="preserve">(Generative AI) </w:t>
      </w:r>
      <w:r>
        <w:rPr>
          <w:rFonts w:ascii="David" w:cs="David" w:hAnsi="David"/>
          <w:b w:val="false"/>
          <w:bCs w:val="false"/>
          <w:i w:val="false"/>
          <w:iCs w:val="false"/>
          <w:sz w:val="24"/>
          <w:szCs w:val="24"/>
          <w:rtl/>
        </w:rPr>
        <w:t xml:space="preserve">היא התפתחות חדשה יחסית בתוך התחום: יישומים המייצרים תוכן חדש, טקסט, תמונה, קול, וידאו או קוד, על בסיס דפוסים סטטיסטיים שנלמדו ממאגרי עתק. מודלי שפה גדולים, דוגמת אלה שבבסיס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אומנו על מיליארדי משפטים, ומישרה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מדגישים שאין מדובר במנוע חיפוש: המודל אינו שולף טקסט קיים ממאגר אלא מחולל תשובה חדשה בכל פנייה. לטכנולוגיה זו שלוש תכונות המאפיינות כל טכנולוגיה דיגיטלית אך מופיעות בה בעוצמה יתרה: היא רב-שימושית, כלומר משמשת מטרות רבות ושונות; היא אטומה, שכן דרך פעולתה הפנימית סמויה גם ממפתחיה; והיא בלתי יציבה, נוטה לטעויות ול"הזיות", כלומר להמצאת מידע שנשמע אמין אך אינו נכון. נוסף על אלה, 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מזהים שתי תכונות מהפכניות ייחודיות לה: היא יוצרת, שכן כל תגובה שלה ייחודית ונוצרת בזמן אמת, באופן שמפתיע לעיתים גם את מתכנניה, והיא חברתית, שכן בני אדם מתקשרים איתה בשפה טבעית ונוטים כמעט אוטומטית להאניש אותה ולייחס לה אישיות וכוונות.</w:t>
      </w:r>
    </w:p>
    <w:p>
      <w:pPr>
        <w:bidi/>
        <w:spacing w:after="180" w:line="360" w:lineRule="auto"/>
        <w:jc w:val="both"/>
      </w:pPr>
      <w:r>
        <w:rPr>
          <w:rFonts w:ascii="David" w:cs="David" w:hAnsi="David"/>
          <w:b/>
          <w:bCs/>
          <w:i w:val="false"/>
          <w:iCs w:val="false"/>
          <w:sz w:val="24"/>
          <w:szCs w:val="24"/>
          <w:rtl/>
        </w:rPr>
        <w:t xml:space="preserve">3.2 יישומי בינה מלאכותית בהוראה ובלמידה</w:t>
      </w:r>
    </w:p>
    <w:p>
      <w:pPr>
        <w:bidi/>
        <w:spacing w:after="120" w:line="360" w:lineRule="auto"/>
        <w:jc w:val="both"/>
      </w:pPr>
      <w:r>
        <w:rPr>
          <w:rFonts w:ascii="David" w:cs="David" w:hAnsi="David"/>
          <w:b w:val="false"/>
          <w:bCs w:val="false"/>
          <w:i w:val="false"/>
          <w:iCs w:val="false"/>
          <w:sz w:val="24"/>
          <w:szCs w:val="24"/>
          <w:rtl/>
        </w:rPr>
        <w:t xml:space="preserve">סקירה שיטתית של המחקר על בינה מלאכותית בעבודת מורים מיפתה את היישומים לפי שלושה שלבי הוראה. בשלב התכנון הכלים מסייעים בבניית מערכי שיעור, ביצירת חומרי למידה ובהתאמתם לרמות שונות של לומדים. בשלב היישום הם מאפשרים הוראה מותאמת אישית, תרגול מודרך ומתן משוב בזמן אמת לכל לומד. בשלב ההערכה הם תומכים בבדיקה אוטומטית של משימות, בניתוח דפוסי למידה ובזיהוי מוקדם של קשיים </w:t>
      </w:r>
      <w:r>
        <w:rPr>
          <w:rFonts w:ascii="Times New Roman" w:cs="Times New Roman" w:hAnsi="Times New Roman"/>
          <w:b w:val="false"/>
          <w:bCs w:val="false"/>
          <w:i w:val="false"/>
          <w:iCs w:val="false"/>
          <w:sz w:val="24"/>
          <w:szCs w:val="24"/>
          <w:rtl w:val="false"/>
        </w:rPr>
        <w:t xml:space="preserve">(Celik et al., 2022). </w:t>
      </w:r>
      <w:r>
        <w:rPr>
          <w:rFonts w:ascii="David" w:cs="David" w:hAnsi="David"/>
          <w:b w:val="false"/>
          <w:bCs w:val="false"/>
          <w:i w:val="false"/>
          <w:iCs w:val="false"/>
          <w:sz w:val="24"/>
          <w:szCs w:val="24"/>
          <w:rtl/>
        </w:rPr>
        <w:t xml:space="preserve">המחברים מציינים שהמחקר בתחום נוטה להתמקד בפוטנציאל הטכנולוגי, ושקולם של המורים עצמם, צורכיהם והכשרתם, נשמע בו פחות </w:t>
      </w:r>
      <w:r>
        <w:rPr>
          <w:rFonts w:ascii="Times New Roman" w:cs="Times New Roman" w:hAnsi="Times New Roman"/>
          <w:b w:val="false"/>
          <w:bCs w:val="false"/>
          <w:i w:val="false"/>
          <w:iCs w:val="false"/>
          <w:sz w:val="24"/>
          <w:szCs w:val="24"/>
          <w:rtl w:val="false"/>
        </w:rPr>
        <w:t xml:space="preserve">(Celik et al., 2022).</w:t>
      </w:r>
    </w:p>
    <w:p>
      <w:pPr>
        <w:bidi/>
        <w:spacing w:after="120" w:line="360" w:lineRule="auto"/>
        <w:jc w:val="both"/>
      </w:pPr>
      <w:r>
        <w:rPr>
          <w:rFonts w:ascii="David" w:cs="David" w:hAnsi="David"/>
          <w:b w:val="false"/>
          <w:bCs w:val="false"/>
          <w:i w:val="false"/>
          <w:iCs w:val="false"/>
          <w:sz w:val="24"/>
          <w:szCs w:val="24"/>
          <w:rtl/>
        </w:rPr>
        <w:t xml:space="preserve">לצד היישומים הממוקדים במורה מתפתח שיח רחב יותר על "תחום התיאום": הממשק וחלוקת התפקידים בין האדם ובין הבינה המלאכותית בהקשרים של למידה וקוגניציה. השאלה המרכזית היא אילו תהליכים קוגניטיביים ראוי שהלומד יבצע בעצמו כדי שתתרחש למידה, ואילו אפשר להפקיד בידי המכונה מבלי לרוקן את הלמידה מתוכן. הפקדה גורפת של החשיבה בידי הכלי עלולה לפגוע דווקא במיומנויות שהלמידה נועדה לפתח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ברוח דומה, גישת אונסק"ו מדגישה שילוב ממוקד אדם: ההחלטות הפדגוגיות והאחריות עליהן נשארות בידי אנשי החינוך, והטכנולוגיה נבחנת תמיד לפי תרומתה ללמידה וליכולת האנושית </w:t>
      </w:r>
      <w:r>
        <w:rPr>
          <w:rFonts w:ascii="Times New Roman" w:cs="Times New Roman" w:hAnsi="Times New Roman"/>
          <w:b w:val="false"/>
          <w:bCs w:val="false"/>
          <w:i w:val="false"/>
          <w:iCs w:val="false"/>
          <w:sz w:val="24"/>
          <w:szCs w:val="24"/>
          <w:rtl w:val="false"/>
        </w:rPr>
        <w:t xml:space="preserve">(Holmes &amp; Miao, 2023).</w:t>
      </w:r>
    </w:p>
    <w:p>
      <w:pPr>
        <w:bidi/>
        <w:spacing w:after="180" w:line="360" w:lineRule="auto"/>
        <w:jc w:val="both"/>
      </w:pPr>
      <w:r>
        <w:rPr>
          <w:rFonts w:ascii="David" w:cs="David" w:hAnsi="David"/>
          <w:b/>
          <w:bCs/>
          <w:i w:val="false"/>
          <w:iCs w:val="false"/>
          <w:sz w:val="24"/>
          <w:szCs w:val="24"/>
          <w:rtl/>
        </w:rPr>
        <w:t xml:space="preserve">3.3 יתרונות, אתגרים ורגולציה</w:t>
      </w:r>
    </w:p>
    <w:p>
      <w:pPr>
        <w:bidi/>
        <w:spacing w:after="120" w:line="360" w:lineRule="auto"/>
        <w:jc w:val="both"/>
      </w:pPr>
      <w:r>
        <w:rPr>
          <w:rFonts w:ascii="David" w:cs="David" w:hAnsi="David"/>
          <w:b w:val="false"/>
          <w:bCs w:val="false"/>
          <w:i w:val="false"/>
          <w:iCs w:val="false"/>
          <w:sz w:val="24"/>
          <w:szCs w:val="24"/>
          <w:rtl/>
        </w:rPr>
        <w:t xml:space="preserve">היתרונות המתועדים בספרות ניכרים: למידה מותאמת אישית בקנה מידה שלא היה אפשרי קודם, משוב מיידי וזמין לכל לומד, הנגשת תכנים ללומדים מתקשים וללומדים בעלי צרכים מיוחדים, תמיכה בביטוי יצירתי והפחתה של ממש בעומס העבודה של המורה בהכנת חומרים ובבדיקתם </w:t>
      </w:r>
      <w:r>
        <w:rPr>
          <w:rFonts w:ascii="Times New Roman" w:cs="Times New Roman" w:hAnsi="Times New Roman"/>
          <w:b w:val="false"/>
          <w:bCs w:val="false"/>
          <w:i w:val="false"/>
          <w:iCs w:val="false"/>
          <w:sz w:val="24"/>
          <w:szCs w:val="24"/>
          <w:rtl w:val="false"/>
        </w:rPr>
        <w:t xml:space="preserve">(Celik et al., 2022; Mishra et al., 2023). </w:t>
      </w:r>
      <w:r>
        <w:rPr>
          <w:rFonts w:ascii="David" w:cs="David" w:hAnsi="David"/>
          <w:b w:val="false"/>
          <w:bCs w:val="false"/>
          <w:i w:val="false"/>
          <w:iCs w:val="false"/>
          <w:sz w:val="24"/>
          <w:szCs w:val="24"/>
          <w:rtl/>
        </w:rPr>
        <w:t xml:space="preserve">מנגד עולים אתגרים כבדי משקל: חשש לפגיעה ביושרה האקדמית כאשר לומדים מגישים תוצרים שהכלי יצר, ובצדו כלי זיהוי בלתי אמינים המייצרים האשמות שווא; מידע שגוי ו"הזיות" של המודלים; הטיות מגדריות, תרבותיות וגזעיות המוטמעות בנתוני האימון; פערי נגישות בין לומדים ובין בתי ספר; וסוגיות פתוחות של זכויות יוצרים </w:t>
      </w:r>
      <w:r>
        <w:rPr>
          <w:rFonts w:ascii="Times New Roman" w:cs="Times New Roman" w:hAnsi="Times New Roman"/>
          <w:b w:val="false"/>
          <w:bCs w:val="false"/>
          <w:i w:val="false"/>
          <w:iCs w:val="false"/>
          <w:sz w:val="24"/>
          <w:szCs w:val="24"/>
          <w:rtl w:val="false"/>
        </w:rPr>
        <w:t xml:space="preserve">(Holmes &amp; Miao, 2023; Mishra et al., 2023). </w:t>
      </w: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מזהירים מפני חשיבה דיכוטומית של איסור גורף או אימוץ נלהב: הכלים כאן כדי להישאר, ותפקיד אנשי החינוך הוא להבין את חוזקותיהם ואת חולשותיהם.</w:t>
      </w:r>
    </w:p>
    <w:p>
      <w:pPr>
        <w:bidi/>
        <w:spacing w:after="120" w:line="360" w:lineRule="auto"/>
        <w:jc w:val="both"/>
      </w:pPr>
      <w:r>
        <w:rPr>
          <w:rFonts w:ascii="David" w:cs="David" w:hAnsi="David"/>
          <w:b w:val="false"/>
          <w:bCs w:val="false"/>
          <w:i w:val="false"/>
          <w:iCs w:val="false"/>
          <w:sz w:val="24"/>
          <w:szCs w:val="24"/>
          <w:rtl/>
        </w:rPr>
        <w:t xml:space="preserve">בישראל משרד החינוך מעודד את השילוב אך מסדיר אותו ברגולציה מחייבת. ההנחיות מגדירות קוד אתי בן חמישה עקרונות: פרטיות; שוויון ומניעת אפליה והטיה; שקיפות והסברתיות; אחריותיות; ואמינות, עמידות, אבטחה ובטיחות. בצד העקרונות נקבעו כללים מעשיים: חובת הסכמה מודעת של ההורים לשימוש, שמירה על אנונימיות ואיסור שיתוף מידע אישי או רגיש, מחיקת היסטוריית שיחות, התאמת השימוש לגיל הלומדים, שימוש בכלים מאושרים בלבד וחובת הכשרה למורים ולתלמידים (משרד החינוך, 2025). לרגולציה זו חשיבות כפולה למחקר הנוכחי: היא מעצבת את ההקשר שבו פועלים מורי בית הספר היסודי, והיא רלוונטית במיוחד בעבודה עם לומדים צעירים שהם קטינים.</w:t>
      </w:r>
    </w:p>
    <w:p>
      <w:pPr>
        <w:bidi/>
        <w:spacing w:after="180" w:line="360" w:lineRule="auto"/>
        <w:jc w:val="both"/>
      </w:pPr>
      <w:r>
        <w:rPr>
          <w:rFonts w:ascii="David" w:cs="David" w:hAnsi="David"/>
          <w:b/>
          <w:bCs/>
          <w:i w:val="false"/>
          <w:iCs w:val="false"/>
          <w:sz w:val="24"/>
          <w:szCs w:val="24"/>
          <w:rtl/>
        </w:rPr>
        <w:t xml:space="preserve">3.4 מודל </w:t>
      </w:r>
      <w:r>
        <w:rPr>
          <w:rFonts w:ascii="Times New Roman" w:cs="Times New Roman" w:hAnsi="Times New Roman"/>
          <w:b/>
          <w:bCs/>
          <w:i w:val="false"/>
          <w:iCs w:val="false"/>
          <w:sz w:val="24"/>
          <w:szCs w:val="24"/>
          <w:rtl w:val="false"/>
        </w:rPr>
        <w:t xml:space="preserve">AI-TPACK</w:t>
      </w:r>
    </w:p>
    <w:p>
      <w:pPr>
        <w:bidi/>
        <w:spacing w:after="120" w:line="360" w:lineRule="auto"/>
        <w:jc w:val="both"/>
      </w:pP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מיישמים את מסגרת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על הבינה המלאכותית היוצרת ושואלים מה על מורים לדעת כדי להשתמש בה ביעילות. בממד הטכנולוגי-פדגוגי, על המורה להעריך אילו שימושים הולמים תהליכי הוראה ולמידה ואילו אינם הולמים, ולעצב מחדש את ההערכה: למשל, במקום מטלת כתיבה שהכלי מסוגל לבצע, משימה שבה הלומד מבקר, משפר ומעריך טיוטה שיצר הכלי, באופן המזמן חשיבה מסדר גבוה. עליו גם ללמד ניסוח הנחיות מדויק ולסייע ללומדים לעמוד בפני הנטייה להאניש את הכלי, באמצעות חשיבה ביקורתית ואיטית. בממד הטכנולוגי-תוכני, הבינה המלאכותית צפויה לשנות כל מקצוע עתיר ידע, ולכן יש לשוב ולבחון מה ראוי ללמד בכל תחום דעת, בדומה לשאלות שעוררו המחשבונים בהוראת המתמטיקה </w:t>
      </w:r>
      <w:r>
        <w:rPr>
          <w:rFonts w:ascii="Times New Roman" w:cs="Times New Roman" w:hAnsi="Times New Roman"/>
          <w:b w:val="false"/>
          <w:bCs w:val="false"/>
          <w:i w:val="false"/>
          <w:iCs w:val="false"/>
          <w:sz w:val="24"/>
          <w:szCs w:val="24"/>
          <w:rtl w:val="false"/>
        </w:rPr>
        <w:t xml:space="preserve">(Mishra et al., 2023).</w:t>
      </w:r>
    </w:p>
    <w:p>
      <w:pPr>
        <w:bidi/>
        <w:spacing w:after="120" w:line="360" w:lineRule="auto"/>
        <w:jc w:val="both"/>
      </w:pPr>
      <w:r>
        <w:rPr>
          <w:rFonts w:ascii="David" w:cs="David" w:hAnsi="David"/>
          <w:b w:val="false"/>
          <w:bCs w:val="false"/>
          <w:i w:val="false"/>
          <w:iCs w:val="false"/>
          <w:sz w:val="24"/>
          <w:szCs w:val="24"/>
          <w:rtl/>
        </w:rPr>
        <w:t xml:space="preserve">הממד השלישי, הידע ההקשרי, מקבל במודל זה מעמד מכריע. הצלחת השילוב תלויה בדרישות תכנית הלימודים, בתרבות בית הספר ובחזונו, במשאבים הזמינים ובצרכים הספציפיים של הלומדים, ומדיניות אוסרת עלולה לסכל גם את המורה המיומן ביותר. המחברים מרחיבים את מושג ההקשר עוד יותר: הבינה המלאכותית היוצרת משפיעה על הפרט ועל החברה כולה, ולכן תשנה גם את ההקשר החינוכי הרחב, והידע ההקשרי הוא שיבחין בין הצלחה לכישלון של השילוב. מסקנתם היא שהמורים והבינה המלאכותית הם יוצרים-שותפים, המעצבים זה את זה, ושהגבולות בין האנושי לטכנולוגי הולכים ומיטשטשים </w:t>
      </w:r>
      <w:r>
        <w:rPr>
          <w:rFonts w:ascii="Times New Roman" w:cs="Times New Roman" w:hAnsi="Times New Roman"/>
          <w:b w:val="false"/>
          <w:bCs w:val="false"/>
          <w:i w:val="false"/>
          <w:iCs w:val="false"/>
          <w:sz w:val="24"/>
          <w:szCs w:val="24"/>
          <w:rtl w:val="false"/>
        </w:rPr>
        <w:t xml:space="preserve">(Mishra et al., 2023).</w:t>
      </w:r>
    </w:p>
    <w:p>
      <w:pPr>
        <w:pageBreakBefore/>
        <w:bidi/>
        <w:spacing w:after="240" w:line="360" w:lineRule="auto"/>
        <w:jc w:val="both"/>
      </w:pPr>
      <w:r>
        <w:rPr>
          <w:rFonts w:ascii="David" w:cs="David" w:hAnsi="David"/>
          <w:b/>
          <w:bCs/>
          <w:i w:val="false"/>
          <w:iCs w:val="false"/>
          <w:sz w:val="28"/>
          <w:szCs w:val="28"/>
          <w:rtl/>
        </w:rPr>
        <w:t xml:space="preserve">4. אוריינות בינה מלאכותית ומוכנות לבינה מלאכותית</w:t>
      </w:r>
    </w:p>
    <w:p>
      <w:pPr>
        <w:bidi/>
        <w:spacing w:after="180" w:line="360" w:lineRule="auto"/>
        <w:jc w:val="both"/>
      </w:pPr>
      <w:r>
        <w:rPr>
          <w:rFonts w:ascii="David" w:cs="David" w:hAnsi="David"/>
          <w:b/>
          <w:bCs/>
          <w:i w:val="false"/>
          <w:iCs w:val="false"/>
          <w:sz w:val="24"/>
          <w:szCs w:val="24"/>
          <w:rtl/>
        </w:rPr>
        <w:t xml:space="preserve">4.1 אוריינות בינה מלאכותית: הגדרה ומרכיבים</w:t>
      </w:r>
    </w:p>
    <w:p>
      <w:pPr>
        <w:bidi/>
        <w:spacing w:after="120" w:line="360" w:lineRule="auto"/>
        <w:jc w:val="both"/>
      </w:pPr>
      <w:r>
        <w:rPr>
          <w:rFonts w:ascii="David" w:cs="David" w:hAnsi="David"/>
          <w:b w:val="false"/>
          <w:bCs w:val="false"/>
          <w:i w:val="false"/>
          <w:iCs w:val="false"/>
          <w:sz w:val="24"/>
          <w:szCs w:val="24"/>
          <w:rtl/>
        </w:rPr>
        <w:t xml:space="preserve">אוריינות בינה מלאכותית מוגדרת כמכלול של ידע, כישורים ועמדות המאפשרים לפרט להבין טכנולוגיות בינה מלאכותית, להשתמש בהן ולהעריך אותן באופן מושכל, אתי וביקורתי. בספרות מקובלת חלוקה לארבעה מרכיבים: הבנה מושגית של הטכנולוגיה ושל עקרונות פעולתה; שימוש יעיל בה לצרכים ממשיים; חשיבה ביקורתית על תוצריה, על מגבלותיה ועל הטיותיה; והתנהלות אתית ואחראית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נג ואחרים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מדגישים שאוריינות בינה מלאכותית איננה שקולה לידע תכנות או לכישורים טכניים: עיקרה הבנה ביקורתית, אתית וחברתית של הטכנולוגיה והשלכותיה, והיא נתפסת כיום כאוריינות אזרחית הנחוצה לכלל האוכלוסייה, בדומה לאוריינות הקריאה והמדיה.</w:t>
      </w:r>
    </w:p>
    <w:p>
      <w:pPr>
        <w:bidi/>
        <w:spacing w:after="180" w:line="360" w:lineRule="auto"/>
        <w:jc w:val="both"/>
      </w:pPr>
      <w:r>
        <w:rPr>
          <w:rFonts w:ascii="David" w:cs="David" w:hAnsi="David"/>
          <w:b/>
          <w:bCs/>
          <w:i w:val="false"/>
          <w:iCs w:val="false"/>
          <w:sz w:val="24"/>
          <w:szCs w:val="24"/>
          <w:rtl/>
        </w:rPr>
        <w:t xml:space="preserve">4.2 מוכנות לבינה מלאכותית: הגדרות וממדים</w:t>
      </w:r>
    </w:p>
    <w:p>
      <w:pPr>
        <w:bidi/>
        <w:spacing w:after="120" w:line="360" w:lineRule="auto"/>
        <w:jc w:val="both"/>
      </w:pPr>
      <w:r>
        <w:rPr>
          <w:rFonts w:ascii="David" w:cs="David" w:hAnsi="David"/>
          <w:b w:val="false"/>
          <w:bCs w:val="false"/>
          <w:i w:val="false"/>
          <w:iCs w:val="false"/>
          <w:sz w:val="24"/>
          <w:szCs w:val="24"/>
          <w:rtl/>
        </w:rPr>
        <w:t xml:space="preserve">מוכנות לבינה מלאכותית היא המידה שבה יחיד, ארגון או מערכת ערוכים לאמץ את הטכנולוגיה, ליישמה ולממש את הפוטנציאל שלה. בהקשר החינוכי מדובר במצב ההיערכות של אנשי חינוך לשילוב בינה מלאכותית בהוראה, הכולל גם גישה ועמדה חיובית כלפי השילוב.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ממשיגים את מוכנות המורים בארבעה ממדים: ידע (קוגניציה), כלומר הבנת הטכנולוגיה ואפשרויותיה; יכולת, כלומר מיומנות מעשית להשתמש בה בהוראה; חזון, כלומר תפיסה של האופן שבו הטכנולוגיה יכולה לקדם את הלמידה; ואתיקה, כלומר מודעות לשימוש אחראי. במחקרם האמפירי הם מראים שמורים ברמת מוכנות גבוהה מחזיקים בידע ובמיומנויות הנדרשים לחדשנות, מתנסים בהזדמנויות שהטכנולוגיה מציעה ומשלבים אותן בעבודתם </w:t>
      </w:r>
      <w:r>
        <w:rPr>
          <w:rFonts w:ascii="Times New Roman" w:cs="Times New Roman" w:hAnsi="Times New Roman"/>
          <w:b w:val="false"/>
          <w:bCs w:val="false"/>
          <w:i w:val="false"/>
          <w:iCs w:val="false"/>
          <w:sz w:val="24"/>
          <w:szCs w:val="24"/>
          <w:rtl w:val="false"/>
        </w:rPr>
        <w:t xml:space="preserve">(Wang et al., 2023).</w:t>
      </w:r>
    </w:p>
    <w:p>
      <w:pPr>
        <w:bidi/>
        <w:spacing w:after="180" w:line="360" w:lineRule="auto"/>
        <w:jc w:val="both"/>
      </w:pPr>
      <w:r>
        <w:rPr>
          <w:rFonts w:ascii="David" w:cs="David" w:hAnsi="David"/>
          <w:b/>
          <w:bCs/>
          <w:i w:val="false"/>
          <w:iCs w:val="false"/>
          <w:sz w:val="24"/>
          <w:szCs w:val="24"/>
          <w:rtl/>
        </w:rPr>
        <w:t xml:space="preserve">4.3 הקשר בין אוריינות למוכנות ותפקיד המורה</w:t>
      </w:r>
    </w:p>
    <w:p>
      <w:pPr>
        <w:bidi/>
        <w:spacing w:after="120" w:line="360" w:lineRule="auto"/>
        <w:jc w:val="both"/>
      </w:pPr>
      <w:r>
        <w:rPr>
          <w:rFonts w:ascii="David" w:cs="David" w:hAnsi="David"/>
          <w:b w:val="false"/>
          <w:bCs w:val="false"/>
          <w:i w:val="false"/>
          <w:iCs w:val="false"/>
          <w:sz w:val="24"/>
          <w:szCs w:val="24"/>
          <w:rtl/>
        </w:rPr>
        <w:t xml:space="preserve">שני המושגים קרובים אך אינם זהים, וההבחנה ביניהם חשובה לניתוח עמדות מורים. המוכנות מתמקדת ביכולתו של המורה להשתמש בטכנולוגיה בפועל ולשלבה בפדגוגיה, בדגש על יישום והיערכות מקצועית, ואילו האוריינות נוגעת להבנה רחבה של הטכנולוגיה, של השלכותיה ושל האחריות החברתית והאתית הכרוכה בשימוש בה </w:t>
      </w:r>
      <w:r>
        <w:rPr>
          <w:rFonts w:ascii="Times New Roman" w:cs="Times New Roman" w:hAnsi="Times New Roman"/>
          <w:b w:val="false"/>
          <w:bCs w:val="false"/>
          <w:i w:val="false"/>
          <w:iCs w:val="false"/>
          <w:sz w:val="24"/>
          <w:szCs w:val="24"/>
          <w:rtl w:val="false"/>
        </w:rPr>
        <w:t xml:space="preserve">(Ng et al., 2021; Wang et al., 2023). </w:t>
      </w:r>
      <w:r>
        <w:rPr>
          <w:rFonts w:ascii="David" w:cs="David" w:hAnsi="David"/>
          <w:b w:val="false"/>
          <w:bCs w:val="false"/>
          <w:i w:val="false"/>
          <w:iCs w:val="false"/>
          <w:sz w:val="24"/>
          <w:szCs w:val="24"/>
          <w:rtl/>
        </w:rPr>
        <w:t xml:space="preserve">מורה יכול להיות אורייני, כלומר להבין היטב מהי בינה מלאכותית ומהן מגבלותיה, ועדיין לא להיות מוכן לשלבה בשיעוריו, ולהפך.</w:t>
      </w:r>
    </w:p>
    <w:p>
      <w:pPr>
        <w:bidi/>
        <w:spacing w:after="120" w:line="360" w:lineRule="auto"/>
        <w:jc w:val="both"/>
      </w:pPr>
      <w:r>
        <w:rPr>
          <w:rFonts w:ascii="David" w:cs="David" w:hAnsi="David"/>
          <w:b w:val="false"/>
          <w:bCs w:val="false"/>
          <w:i w:val="false"/>
          <w:iCs w:val="false"/>
          <w:sz w:val="24"/>
          <w:szCs w:val="24"/>
          <w:rtl/>
        </w:rPr>
        <w:t xml:space="preserve">הקשר בין המושגים נבחן גם אמפירית. במחקר שנערך בקרב 368 מורים בפועל, מבית הספר היסודי ועד התיכון, נמצא שאוריינות טכנולוגית כללית מנבאת את מוכנות המורים ללמד בינה מלאכותית, ושתחושת הביטחון של המורה ביכולתו ללמד את התחום היא המנבא החזק ביותר של כוונתו לעשות זאת בפועל. הרלוונטיות הנתפסת של התחום נמצאה המנבא החזק ביותר של המוכנות עצמה, והמודל כולו הסביר כשמונים אחוזים מהשונות בכוונת ההוראה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מכאן שהמורה נדרש להיות בעצמו לומד אורייני, המעדכן את הידע שלו באופן מתמיד, ושהשקעה בפיתוח מקצועי מעשי היא תנאי לשילוב מוצלח </w:t>
      </w:r>
      <w:r>
        <w:rPr>
          <w:rFonts w:ascii="Times New Roman" w:cs="Times New Roman" w:hAnsi="Times New Roman"/>
          <w:b w:val="false"/>
          <w:bCs w:val="false"/>
          <w:i w:val="false"/>
          <w:iCs w:val="false"/>
          <w:sz w:val="24"/>
          <w:szCs w:val="24"/>
          <w:rtl w:val="false"/>
        </w:rPr>
        <w:t xml:space="preserve">(Ayanwale et al., 2022; Wang et al., 2023).</w:t>
      </w:r>
    </w:p>
    <w:p>
      <w:pPr>
        <w:pageBreakBefore/>
        <w:bidi/>
        <w:spacing w:after="240" w:line="360" w:lineRule="auto"/>
        <w:jc w:val="both"/>
      </w:pPr>
      <w:r>
        <w:rPr>
          <w:rFonts w:ascii="David" w:cs="David" w:hAnsi="David"/>
          <w:b/>
          <w:bCs/>
          <w:i w:val="false"/>
          <w:iCs w:val="false"/>
          <w:sz w:val="28"/>
          <w:szCs w:val="28"/>
          <w:rtl/>
        </w:rPr>
        <w:t xml:space="preserve">5. הוראת אנגלית כשפה זרה בבית הספר היסודי</w:t>
      </w:r>
    </w:p>
    <w:p>
      <w:pPr>
        <w:bidi/>
        <w:spacing w:after="180" w:line="360" w:lineRule="auto"/>
        <w:jc w:val="both"/>
      </w:pPr>
      <w:r>
        <w:rPr>
          <w:rFonts w:ascii="David" w:cs="David" w:hAnsi="David"/>
          <w:b/>
          <w:bCs/>
          <w:i w:val="false"/>
          <w:iCs w:val="false"/>
          <w:sz w:val="24"/>
          <w:szCs w:val="24"/>
          <w:rtl/>
        </w:rPr>
        <w:t xml:space="preserve">5.1 אנגלית כשפה זרה בישראל</w:t>
      </w:r>
    </w:p>
    <w:p>
      <w:pPr>
        <w:bidi/>
        <w:spacing w:after="120" w:line="360" w:lineRule="auto"/>
        <w:jc w:val="both"/>
      </w:pPr>
      <w:r>
        <w:rPr>
          <w:rFonts w:ascii="David" w:cs="David" w:hAnsi="David"/>
          <w:b w:val="false"/>
          <w:bCs w:val="false"/>
          <w:i w:val="false"/>
          <w:iCs w:val="false"/>
          <w:sz w:val="24"/>
          <w:szCs w:val="24"/>
          <w:rtl/>
        </w:rPr>
        <w:t xml:space="preserve">האנגלית נלמדת בישראל כשפה זרה ראשונה והיא מקצוע חובה מבית הספר היסודי ועד סוף התיכון. תכנית הלימודים הארצית מגדירה את האנגלית כשפה בינלאומית: שפה שרכישתה נועדה לאפשר לבוגרי המערכת תקשורת עם דוברי שפות אחרות ברחבי העולם, גישה למידע, לתרבות ולהשכלה גבוהה, והשתלבות בשוק עבודה גלובלי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מעמדה של האנגלית כשער להשכלה ולתעסוקה מקנה למקצוע חשיבות חברתית מעבר להישג הלימודי עצמו, והפערים בהישגי האנגלית בין קבוצות אוכלוסייה נדונים בישראל גם כסוגיה של שוויון הזדמנויות </w:t>
      </w:r>
      <w:r>
        <w:rPr>
          <w:rFonts w:ascii="Times New Roman" w:cs="Times New Roman" w:hAnsi="Times New Roman"/>
          <w:b w:val="false"/>
          <w:bCs w:val="false"/>
          <w:i w:val="false"/>
          <w:iCs w:val="false"/>
          <w:sz w:val="24"/>
          <w:szCs w:val="24"/>
          <w:rtl w:val="false"/>
        </w:rPr>
        <w:t xml:space="preserve">(Ministry of Education, 2020).</w:t>
      </w:r>
    </w:p>
    <w:p>
      <w:pPr>
        <w:bidi/>
        <w:spacing w:after="120" w:line="360" w:lineRule="auto"/>
        <w:jc w:val="both"/>
      </w:pPr>
      <w:r>
        <w:rPr>
          <w:rFonts w:ascii="David" w:cs="David" w:hAnsi="David"/>
          <w:b w:val="false"/>
          <w:bCs w:val="false"/>
          <w:i w:val="false"/>
          <w:iCs w:val="false"/>
          <w:sz w:val="24"/>
          <w:szCs w:val="24"/>
          <w:rtl/>
        </w:rPr>
        <w:t xml:space="preserve">התכנית העדכנית, שנכנסה לתוקף בשנת 2020, מיישרת קו עם המסגרת האירופית המשותפת לשפות </w:t>
      </w:r>
      <w:r>
        <w:rPr>
          <w:rFonts w:ascii="Times New Roman" w:cs="Times New Roman" w:hAnsi="Times New Roman"/>
          <w:b w:val="false"/>
          <w:bCs w:val="false"/>
          <w:i w:val="false"/>
          <w:iCs w:val="false"/>
          <w:sz w:val="24"/>
          <w:szCs w:val="24"/>
          <w:rtl w:val="false"/>
        </w:rPr>
        <w:t xml:space="preserve">(CEFR): </w:t>
      </w:r>
      <w:r>
        <w:rPr>
          <w:rFonts w:ascii="David" w:cs="David" w:hAnsi="David"/>
          <w:b w:val="false"/>
          <w:bCs w:val="false"/>
          <w:i w:val="false"/>
          <w:iCs w:val="false"/>
          <w:sz w:val="24"/>
          <w:szCs w:val="24"/>
          <w:rtl/>
        </w:rPr>
        <w:t xml:space="preserve">היא קובעת רמות בקיאות מדורגות ואבני דרך מוגדרות לכל שלב גיל, מראשית היסודי ועד סוף התיכון, בארבע מיומנויות השפה, האזנה, דיבור, קריאה וכתיבה, ובצדן יעדי אוצר מילים מדורגים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מבנה זה מאפשר למורה למקם כל לומד על רצף התקדמות ברור, אך גם מחייב הוראה מובחנת בכיתות שבהן פערי הרמות גדולים.</w:t>
      </w:r>
    </w:p>
    <w:p>
      <w:pPr>
        <w:bidi/>
        <w:spacing w:after="180" w:line="360" w:lineRule="auto"/>
        <w:jc w:val="both"/>
      </w:pPr>
      <w:r>
        <w:rPr>
          <w:rFonts w:ascii="David" w:cs="David" w:hAnsi="David"/>
          <w:b/>
          <w:bCs/>
          <w:i w:val="false"/>
          <w:iCs w:val="false"/>
          <w:sz w:val="24"/>
          <w:szCs w:val="24"/>
          <w:rtl/>
        </w:rPr>
        <w:t xml:space="preserve">5.2 תכנית הלימודים ודרכי ההוראה בבית הספר היסודי</w:t>
      </w:r>
    </w:p>
    <w:p>
      <w:pPr>
        <w:bidi/>
        <w:spacing w:after="120" w:line="360" w:lineRule="auto"/>
        <w:jc w:val="both"/>
      </w:pPr>
      <w:r>
        <w:rPr>
          <w:rFonts w:ascii="David" w:cs="David" w:hAnsi="David"/>
          <w:b w:val="false"/>
          <w:bCs w:val="false"/>
          <w:i w:val="false"/>
          <w:iCs w:val="false"/>
          <w:sz w:val="24"/>
          <w:szCs w:val="24"/>
          <w:rtl/>
        </w:rPr>
        <w:t xml:space="preserve">בשלב היסודי מציבה תכנית הלימודים דגש על הבנת הנשמע והנקרא, על הבעה בעל פה ובכתב ברמה בסיסית ועל בניית אוצר מילים מדורג, מתוך גישה תקשורתית שבה השפה נרכשת דרך שימוש משמעותי בה, בהקשרים אותנטיים, ולא דרך שינון חוקי דקדוק בלבד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המורה לאנגלית ביסודי פועל בתנאים ייחודיים: הוא מתווך שפה זרה ללומדים צעירים שרובם אינם פוגשים אותה בסביבתם היומיומית מחוץ לכיתה, ולכן איכות החשיפה בשיעור, מגוון התרגול והמשוב שהלומד מקבל משפיעים במיוחד על ההתקדמות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בכיתה הטרוגנית, שבה חלק מהלומדים נחשפים לאנגלית גם בבית ובמדיה וחלקם כלל לא, נדרשת מהמורה הוראה מובחנת שקשה לקיימה באמצעים מסורתיים בלבד </w:t>
      </w:r>
      <w:r>
        <w:rPr>
          <w:rFonts w:ascii="Times New Roman" w:cs="Times New Roman" w:hAnsi="Times New Roman"/>
          <w:b w:val="false"/>
          <w:bCs w:val="false"/>
          <w:i w:val="false"/>
          <w:iCs w:val="false"/>
          <w:sz w:val="24"/>
          <w:szCs w:val="24"/>
          <w:rtl w:val="false"/>
        </w:rPr>
        <w:t xml:space="preserve">(Cameron, 2001).</w:t>
      </w:r>
    </w:p>
    <w:p>
      <w:pPr>
        <w:bidi/>
        <w:spacing w:after="180" w:line="360" w:lineRule="auto"/>
        <w:jc w:val="both"/>
      </w:pPr>
      <w:r>
        <w:rPr>
          <w:rFonts w:ascii="David" w:cs="David" w:hAnsi="David"/>
          <w:b/>
          <w:bCs/>
          <w:i w:val="false"/>
          <w:iCs w:val="false"/>
          <w:sz w:val="24"/>
          <w:szCs w:val="24"/>
          <w:rtl/>
        </w:rPr>
        <w:t xml:space="preserve">5.3 מאפייני רכישת אנגלית כשפה זרה בגיל צעיר</w:t>
      </w:r>
    </w:p>
    <w:p>
      <w:pPr>
        <w:bidi/>
        <w:spacing w:after="120" w:line="360" w:lineRule="auto"/>
        <w:jc w:val="both"/>
      </w:pPr>
      <w:r>
        <w:rPr>
          <w:rFonts w:ascii="David" w:cs="David" w:hAnsi="David"/>
          <w:b w:val="false"/>
          <w:bCs w:val="false"/>
          <w:i w:val="false"/>
          <w:iCs w:val="false"/>
          <w:sz w:val="24"/>
          <w:szCs w:val="24"/>
          <w:rtl/>
        </w:rPr>
        <w:t xml:space="preserve">רכישת שפה זרה נשענת לפי קראשן </w:t>
      </w:r>
      <w:r>
        <w:rPr>
          <w:rFonts w:ascii="Times New Roman" w:cs="Times New Roman" w:hAnsi="Times New Roman"/>
          <w:b w:val="false"/>
          <w:bCs w:val="false"/>
          <w:i w:val="false"/>
          <w:iCs w:val="false"/>
          <w:sz w:val="24"/>
          <w:szCs w:val="24"/>
          <w:rtl w:val="false"/>
        </w:rPr>
        <w:t xml:space="preserve">(Krashen, 1982) </w:t>
      </w:r>
      <w:r>
        <w:rPr>
          <w:rFonts w:ascii="David" w:cs="David" w:hAnsi="David"/>
          <w:b w:val="false"/>
          <w:bCs w:val="false"/>
          <w:i w:val="false"/>
          <w:iCs w:val="false"/>
          <w:sz w:val="24"/>
          <w:szCs w:val="24"/>
          <w:rtl/>
        </w:rPr>
        <w:t xml:space="preserve">על קלט מובן: הלומד מתקדם כאשר הוא נחשף לשפה ברמה מעט גבוהה מרמתו הנוכחית, באופן שהוא מסוגל להבין מתוך ההקשר. תנאי נוסף הוא מסנן רגשי נמוך: חרדה, לחץ וחשש מטעויות חוסמים את הרכישה, ואילו מוטיבציה, ביטחון ואווירה תומכת מאפשרים אותה. מכאן החשיבות שמייחסת הספרות לסביבת למידה מרובת קלט ודלת איומים, שבה הלומד מעז להתנסות בשפה </w:t>
      </w:r>
      <w:r>
        <w:rPr>
          <w:rFonts w:ascii="Times New Roman" w:cs="Times New Roman" w:hAnsi="Times New Roman"/>
          <w:b w:val="false"/>
          <w:bCs w:val="false"/>
          <w:i w:val="false"/>
          <w:iCs w:val="false"/>
          <w:sz w:val="24"/>
          <w:szCs w:val="24"/>
          <w:rtl w:val="false"/>
        </w:rPr>
        <w:t xml:space="preserve">(Krashen, 1982).</w:t>
      </w:r>
    </w:p>
    <w:p>
      <w:pPr>
        <w:bidi/>
        <w:spacing w:after="120" w:line="360" w:lineRule="auto"/>
        <w:jc w:val="both"/>
      </w:pPr>
      <w:r>
        <w:rPr>
          <w:rFonts w:ascii="David" w:cs="David" w:hAnsi="David"/>
          <w:b w:val="false"/>
          <w:bCs w:val="false"/>
          <w:i w:val="false"/>
          <w:iCs w:val="false"/>
          <w:sz w:val="24"/>
          <w:szCs w:val="24"/>
          <w:rtl/>
        </w:rPr>
        <w:t xml:space="preserve">לומדים צעירים נבדלים מלומדים בוגרים בדרכי הלמידה שלהם: הם לומדים דרך פעילות והתנסות, נשענים על הערוץ הדבור לפני הכתוב, מתאפיינים בטווח קשב קצר וזקוקים להקשרים מוחשיים ומשמעותיים. הוראה אפקטיבית בגילים אלה משלבת משחק, סיפור, שיר ותנועה, ומדגישה הצלחות קטנות ותכופות הבונות תחושת מסוגלות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מאפיינים אלה מסבירים מדוע כלים המסוגלים לייצר טקסטים מדורגים לפי רמה, דיאלוגים מותאמים ומשוב מיידי ואישי מעוררים עניין רב דווקא בהוראת שפות בגיל הצעיר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בה בעת הם מציבים רף זהירות גבוה, שכן מדובר בלומדים שטרם גיבשו חשיבה ביקורתית בשלה כלפי מקורות מידע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5.4 פדגוגיות מתקדמות ושילוב טכנולוגיה בהוראת האנגלית</w:t>
      </w:r>
    </w:p>
    <w:p>
      <w:pPr>
        <w:bidi/>
        <w:spacing w:after="120" w:line="360" w:lineRule="auto"/>
        <w:jc w:val="both"/>
      </w:pPr>
      <w:r>
        <w:rPr>
          <w:rFonts w:ascii="David" w:cs="David" w:hAnsi="David"/>
          <w:b w:val="false"/>
          <w:bCs w:val="false"/>
          <w:i w:val="false"/>
          <w:iCs w:val="false"/>
          <w:sz w:val="24"/>
          <w:szCs w:val="24"/>
          <w:rtl/>
        </w:rPr>
        <w:t xml:space="preserve">הוראת השפות אימצה לאורך השנים כלים דיגיטליים רבים, ממילונים מקוונים ואפליקציות לתרגול אוצר מילים ועד סביבות למידה מתוקשבות ומשחקי שפה, אך הבינה המלאכותית היוצרת מסמנת שינוי מסדר אחר, משום שהיא פועלת בחומר הגלם של המקצוע עצמו: השפה. קונקה ואחרים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ממפים את האפשרויות שכלי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פותח בפני מורי השפה: בן שיח זמין לתרגול דיאלוגים במגוון משלבים והקשרים; חילול טקסטים ברמות קושי מותאמות לכל לומד; הסבר אוצר מילים בהקשר, על ניואנסים ומשמעויות מרובות; יצירת שאלות הבנה, מבדקים ותרגילים; וסיוע למורה בהכנת חומרים מובחנים בזמן קצר. עבור הלומד, הכלי מציע סביבת תרגול פרטית ונטולת שיפוטיות, שבה אפשר לטעות ללא מבוכה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לצד הפוטנציאל, המחברים מדגישים שהשימוש מחייב כשירויות דיגיטליות של המורה ומודעות למגבלות הכלי: הטקסטים שהוא מפיק עלולים לכלול אי-דיוקים עובדתיים והטיות תרבותיות, איכות התוצר תלויה באיכות ההנחיה, ויכולתו של הכלי לבצע מטלות כתיבה שלמות מחייבת חשיבה מחודשת על דרכי ההערכה בשיעורי השפה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שאלת המפתח, כפי שעולה גם מהפרקים הקודמים, איננה אם הכלי מסוגל לתרום להוראת האנגלית אלא כיצד המורים תופסים אותו ומה יקבע אם ישלבו אותו בפועל, וזהו עניינו של הפרק הבא.</w:t>
      </w:r>
    </w:p>
    <w:p>
      <w:pPr>
        <w:pageBreakBefore/>
        <w:bidi/>
        <w:spacing w:after="240" w:line="360" w:lineRule="auto"/>
        <w:jc w:val="both"/>
      </w:pPr>
      <w:r>
        <w:rPr>
          <w:rFonts w:ascii="David" w:cs="David" w:hAnsi="David"/>
          <w:b/>
          <w:bCs/>
          <w:i w:val="false"/>
          <w:iCs w:val="false"/>
          <w:sz w:val="28"/>
          <w:szCs w:val="28"/>
          <w:rtl/>
        </w:rPr>
        <w:t xml:space="preserve">6. תפיסות ועמדות מורים כלפי שילוב בינה מלאכותית</w:t>
      </w:r>
    </w:p>
    <w:p>
      <w:pPr>
        <w:bidi/>
        <w:spacing w:after="180" w:line="360" w:lineRule="auto"/>
        <w:jc w:val="both"/>
      </w:pPr>
      <w:r>
        <w:rPr>
          <w:rFonts w:ascii="David" w:cs="David" w:hAnsi="David"/>
          <w:b/>
          <w:bCs/>
          <w:i w:val="false"/>
          <w:iCs w:val="false"/>
          <w:sz w:val="24"/>
          <w:szCs w:val="24"/>
          <w:rtl/>
        </w:rPr>
        <w:t xml:space="preserve">6.1 תפיסות ועמדות: הגדרות ומרכיבים</w:t>
      </w:r>
    </w:p>
    <w:p>
      <w:pPr>
        <w:bidi/>
        <w:spacing w:after="120" w:line="360" w:lineRule="auto"/>
        <w:jc w:val="both"/>
      </w:pPr>
      <w:r>
        <w:rPr>
          <w:rFonts w:ascii="David" w:cs="David" w:hAnsi="David"/>
          <w:b w:val="false"/>
          <w:bCs w:val="false"/>
          <w:i w:val="false"/>
          <w:iCs w:val="false"/>
          <w:sz w:val="24"/>
          <w:szCs w:val="24"/>
          <w:rtl/>
        </w:rPr>
        <w:t xml:space="preserve">תפיסה </w:t>
      </w:r>
      <w:r>
        <w:rPr>
          <w:rFonts w:ascii="Times New Roman" w:cs="Times New Roman" w:hAnsi="Times New Roman"/>
          <w:b w:val="false"/>
          <w:bCs w:val="false"/>
          <w:i w:val="false"/>
          <w:iCs w:val="false"/>
          <w:sz w:val="24"/>
          <w:szCs w:val="24"/>
          <w:rtl w:val="false"/>
        </w:rPr>
        <w:t xml:space="preserve">(perception) </w:t>
      </w:r>
      <w:r>
        <w:rPr>
          <w:rFonts w:ascii="David" w:cs="David" w:hAnsi="David"/>
          <w:b w:val="false"/>
          <w:bCs w:val="false"/>
          <w:i w:val="false"/>
          <w:iCs w:val="false"/>
          <w:sz w:val="24"/>
          <w:szCs w:val="24"/>
          <w:rtl/>
        </w:rPr>
        <w:t xml:space="preserve">היא התהליך שבו הפרט קולט, מעבד ומפרש מידע על סביבתו, והיא כוללת מודעות, הבנה והתרשמות; מדובר בחוויה דינמית של פירוש המציאות. עמדה </w:t>
      </w:r>
      <w:r>
        <w:rPr>
          <w:rFonts w:ascii="Times New Roman" w:cs="Times New Roman" w:hAnsi="Times New Roman"/>
          <w:b w:val="false"/>
          <w:bCs w:val="false"/>
          <w:i w:val="false"/>
          <w:iCs w:val="false"/>
          <w:sz w:val="24"/>
          <w:szCs w:val="24"/>
          <w:rtl w:val="false"/>
        </w:rPr>
        <w:t xml:space="preserve">(attitude) </w:t>
      </w:r>
      <w:r>
        <w:rPr>
          <w:rFonts w:ascii="David" w:cs="David" w:hAnsi="David"/>
          <w:b w:val="false"/>
          <w:bCs w:val="false"/>
          <w:i w:val="false"/>
          <w:iCs w:val="false"/>
          <w:sz w:val="24"/>
          <w:szCs w:val="24"/>
          <w:rtl/>
        </w:rPr>
        <w:t xml:space="preserve">היא מערכת של אמונות, רגשות ונטיות התנהגותיות כלפי מושא מסוים. לעמדה שלושה מרכיבים: קוגניטיבי, הכולל את דעותיו, מחשבותיו ואמונותיו של הפרט על נשוא העמדה; רגשי, הנוגע למה שהפרט מרגיש כלפיו; והתנהגותי, המבטא את נטייתו לפעול ביחס אליו, להבדיל מהתנהגותו בפועל. עמדות הן כלליות ואינן מתייחסות לאירוע יחיד, הן חיוביות או שליליות, עוצמתן משתנה מנושא לנושא, והן יציבות לרוב אך ניתנות לשינוי (לוי עצמון ורונן, 2026).</w:t>
      </w:r>
    </w:p>
    <w:p>
      <w:pPr>
        <w:bidi/>
        <w:spacing w:after="120" w:line="360" w:lineRule="auto"/>
        <w:jc w:val="both"/>
      </w:pPr>
      <w:r>
        <w:rPr>
          <w:rFonts w:ascii="David" w:cs="David" w:hAnsi="David"/>
          <w:b w:val="false"/>
          <w:bCs w:val="false"/>
          <w:i w:val="false"/>
          <w:iCs w:val="false"/>
          <w:sz w:val="24"/>
          <w:szCs w:val="24"/>
          <w:rtl/>
        </w:rPr>
        <w:t xml:space="preserve">ההבחנה בין המושגים חשובה לעיצוב מחקר: מחקר תפיסות בוחן כיצד אנשים חווים, קולטים ומפרשים תופעה, ואילו מחקר עמדות בוחן מה הם חושבים עליה וכיצד בכוונתם לנהוג. שני הסוגים נחקרים הן בכלים איכותניים, ובראשם ראיונות עומק המאפשרים להבין את עולמם של המשתתפים במילותיהם שלהם, הן בכלים כמותניים דוגמת שאלונים (לוי עצמון ורונן, 2026). מודלים תיאורטיים של אימוץ טכנולוגיה מספקים למחקרים אלה מסגרת מושגית: הם מגדירים אילו תפיסות ועמדות משפיעות על ההחלטה להשתמש בטכנולוגיה, ומאפשרים לנתח ממצאים ולגבש המלצות (לוי עצמון ורונן, 2026).</w:t>
      </w:r>
    </w:p>
    <w:p>
      <w:pPr>
        <w:bidi/>
        <w:spacing w:after="180" w:line="360" w:lineRule="auto"/>
        <w:jc w:val="both"/>
      </w:pPr>
      <w:r>
        <w:rPr>
          <w:rFonts w:ascii="David" w:cs="David" w:hAnsi="David"/>
          <w:b/>
          <w:bCs/>
          <w:i w:val="false"/>
          <w:iCs w:val="false"/>
          <w:sz w:val="24"/>
          <w:szCs w:val="24"/>
          <w:rtl/>
        </w:rPr>
        <w:t xml:space="preserve">6.2 מודל קבלת הטכנולוגיה </w:t>
      </w:r>
      <w:r>
        <w:rPr>
          <w:rFonts w:ascii="Times New Roman" w:cs="Times New Roman" w:hAnsi="Times New Roman"/>
          <w:b/>
          <w:bCs/>
          <w:i w:val="false"/>
          <w:iCs w:val="false"/>
          <w:sz w:val="24"/>
          <w:szCs w:val="24"/>
          <w:rtl w:val="false"/>
        </w:rPr>
        <w:t xml:space="preserve">TAM</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נקודת המוצא של חקר אימוץ טכנולוגיות, והוא מהמודלים המבוססים אמפירית בתחום: כלי המדידה שלו הראו תקפות ומהימנות במאות מחקרים. לפי המודל, השימוש בטכנולוגיה מושפע מהכוונה להשתמש בה, והכוונה מעוצבת על ידי העמדה כלפי השימוש, המושפעת בתורה משתי תפיסות סובייקטיביות. הראשונה היא תפיסת השימושיות: המידה שבה האדם מאמין שהשימוש בטכנולוגיה ישפר את ביצועיו בעבודתו. השנייה היא תפיסת קלות השימוש: המידה שבה הוא מאמין שהשימוש יהיה פשוט ונטול מאמץ גופני ונפשי. קלות השימוש משפיעה גם על השימושיות עצמה, שכן כלי קל לתפעול מפנה זמן וקשב לעבודה עצמה </w:t>
      </w:r>
      <w:r>
        <w:rPr>
          <w:rFonts w:ascii="Times New Roman" w:cs="Times New Roman" w:hAnsi="Times New Roman"/>
          <w:b w:val="false"/>
          <w:bCs w:val="false"/>
          <w:i w:val="false"/>
          <w:iCs w:val="false"/>
          <w:sz w:val="24"/>
          <w:szCs w:val="24"/>
          <w:rtl w:val="false"/>
        </w:rPr>
        <w:t xml:space="preserve">(Davis, 1989).</w:t>
      </w:r>
    </w:p>
    <w:p>
      <w:pPr>
        <w:bidi/>
        <w:spacing w:after="120" w:line="360" w:lineRule="auto"/>
        <w:jc w:val="both"/>
      </w:pPr>
      <w:r>
        <w:rPr>
          <w:rFonts w:ascii="David" w:cs="David" w:hAnsi="David"/>
          <w:b w:val="false"/>
          <w:bCs w:val="false"/>
          <w:i w:val="false"/>
          <w:iCs w:val="false"/>
          <w:sz w:val="24"/>
          <w:szCs w:val="24"/>
          <w:rtl/>
        </w:rPr>
        <w:t xml:space="preserve">ממצא מרכזי 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שתפיסת השימושיות משפיעה על השימוש יותר מקלות השימוש: משתמשים מוכנים להתמודד עם כלי מסובך אם הם משוכנעים בתועלתו, אך שום קלות שימוש לא תפצה על כלי הנתפס חסר תועלת. חשוב שמדובר בתפיסות סובייקטיביות ובאמונות אישיות, ולא בתכונות אובייקטיביות של הטכנולוגיה: אותו כלי עצמו יכול להיתפס שימושי בעיני מורה אחד וחסר ערך בעיני אחר, ולכן חקר התפיסות הוא המפתח להבנת האימוץ. עם זאת, המודל פותח עבור טכנולוגיות מידע שגרתיות, שהמשתמש נדרש ללמוד ולתפעל, והספרות העדכנית מטילה ספק בדיותו לטכנולוגיות בעלות מאפיינים אנושיים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6.3 מודל </w:t>
      </w:r>
      <w:r>
        <w:rPr>
          <w:rFonts w:ascii="Times New Roman" w:cs="Times New Roman" w:hAnsi="Times New Roman"/>
          <w:b/>
          <w:bCs/>
          <w:i w:val="false"/>
          <w:iCs w:val="false"/>
          <w:sz w:val="24"/>
          <w:szCs w:val="24"/>
          <w:rtl w:val="false"/>
        </w:rPr>
        <w:t xml:space="preserve">AIDUA </w:t>
      </w:r>
      <w:r>
        <w:rPr>
          <w:rFonts w:ascii="David" w:cs="David" w:hAnsi="David"/>
          <w:b/>
          <w:bCs/>
          <w:i w:val="false"/>
          <w:iCs w:val="false"/>
          <w:sz w:val="24"/>
          <w:szCs w:val="24"/>
          <w:rtl/>
        </w:rPr>
        <w:t xml:space="preserve">לאימוץ בינה מלאכותית</w:t>
      </w:r>
    </w:p>
    <w:p>
      <w:pPr>
        <w:bidi/>
        <w:spacing w:after="120" w:line="360" w:lineRule="auto"/>
        <w:jc w:val="both"/>
      </w:pPr>
      <w:r>
        <w:rPr>
          <w:rFonts w:ascii="David" w:cs="David" w:hAnsi="David"/>
          <w:b w:val="false"/>
          <w:bCs w:val="false"/>
          <w:i w:val="false"/>
          <w:iCs w:val="false"/>
          <w:sz w:val="24"/>
          <w:szCs w:val="24"/>
          <w:rtl/>
        </w:rPr>
        <w:t xml:space="preserve">על רקע זה פותח מודל </w:t>
      </w:r>
      <w:r>
        <w:rPr>
          <w:rFonts w:ascii="Times New Roman" w:cs="Times New Roman" w:hAnsi="Times New Roman"/>
          <w:b w:val="false"/>
          <w:bCs w:val="false"/>
          <w:i w:val="false"/>
          <w:iCs w:val="false"/>
          <w:sz w:val="24"/>
          <w:szCs w:val="24"/>
          <w:rtl w:val="false"/>
        </w:rPr>
        <w:t xml:space="preserve">AIDUA (Artificially Intelligent Device Use Acceptance), </w:t>
      </w:r>
      <w:r>
        <w:rPr>
          <w:rFonts w:ascii="David" w:cs="David" w:hAnsi="David"/>
          <w:b w:val="false"/>
          <w:bCs w:val="false"/>
          <w:i w:val="false"/>
          <w:iCs w:val="false"/>
          <w:sz w:val="24"/>
          <w:szCs w:val="24"/>
          <w:rtl/>
        </w:rPr>
        <w:t xml:space="preserve">המבקש להסביר קבלה של התקנים ויישומים מבוססי בינה מלאכותית. גורסוי ואחרים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טוענים שמודלים קלאסיים דוגמת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אינם מספיקים לתיאור אימוץ של טכנולוגיה "חושבת", בעלת מאפיינים אנושיים, שאינה דורשת תפעול במובן המסורתי, ומציעים במקומם תהליך פסיכולוגי בן שלושה שלבים, הנשען על תיאוריית ההערכה הקוגניטיבית של רגשות. בשלב ההערכה הראשונית הפרט שואל את עצמו מה הרושם הראשוני שלו, ובוחן שלושה גורמים: השפעה חברתית, כלומר מה חושבים ועושים האנשים החשובים לו וסביבתו המקצועית; מוטיבציה נהנתנית, כלומר עד כמה השימוש נתפס מהנה, מסקרן ומעניין; והאנשה, כלומר המידה שבה הכלי נתפס כבעל מאפיינים אנושיים, דוגמת קול אנושי או ניהול דיאלוג אישי.</w:t>
      </w:r>
    </w:p>
    <w:p>
      <w:pPr>
        <w:bidi/>
        <w:spacing w:after="120" w:line="360" w:lineRule="auto"/>
        <w:jc w:val="both"/>
      </w:pPr>
      <w:r>
        <w:rPr>
          <w:rFonts w:ascii="David" w:cs="David" w:hAnsi="David"/>
          <w:b w:val="false"/>
          <w:bCs w:val="false"/>
          <w:i w:val="false"/>
          <w:iCs w:val="false"/>
          <w:sz w:val="24"/>
          <w:szCs w:val="24"/>
          <w:rtl/>
        </w:rPr>
        <w:t xml:space="preserve">בשלב ההערכה המשנית נערך חשבון עלות-תועלת אישי: ציפייה לביצועים, כלומר האם הכלי ישפר את התוצאות ויחסוך זמן, וציפייה למאמץ, כלומר כמה קשה יהיה ללמוד אותו ולהשתמש בו, שני ממדים המקבילים לתפיסות היסוד של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ייחודו של המודל בשלב השלישי: ההערכות אינן מובילות ישירות להחלטה אלא מולידות חוויה רגשית, סקרנות, התלהבות וביטחון מצד אחד, או חשש, חרדה וחוסר אמון מצד אחר, והרגש הוא הגורם הישיר שמכריע בין נכונות להשתמש ובין התנגדות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במחקר האימות, שנערך בקרב 439 משתתפים, נתמכו שמונה מעשר ההשערות: המוטיבציה הנהנתנית ניבאה בעוצמה את הציפייה לביצועים והפחיתה את המאמץ הצפוי, ההאנשה דווקא העלתה את המאמץ הצפוי, והרגש הסביר את רוב השונות בנכונות השימוש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המסקנה התיאורטית היא שאימוץ בינה מלאכותית איננו חישוב תועלת קר אלא תהליך שההכרעה בו עוברת דרך הרגש.</w:t>
      </w:r>
    </w:p>
    <w:p>
      <w:pPr>
        <w:bidi/>
        <w:spacing w:after="180" w:line="360" w:lineRule="auto"/>
        <w:jc w:val="both"/>
      </w:pPr>
      <w:r>
        <w:rPr>
          <w:rFonts w:ascii="David" w:cs="David" w:hAnsi="David"/>
          <w:b/>
          <w:bCs/>
          <w:i w:val="false"/>
          <w:iCs w:val="false"/>
          <w:sz w:val="24"/>
          <w:szCs w:val="24"/>
          <w:rtl/>
        </w:rPr>
        <w:t xml:space="preserve">6.4 גורמים מקדמים ומעכבים בקרב מורים</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יושם לאחרונה על מורים בישראל. במחקר כמותני שנערך בקרב 270 מורים, שגילם הממוצע 42, נמצא ש-73 אחוזים מהם משתמשים ביישומי בינה מלאכותית יוצרת, וכמחציתם עושים בהם שימוש לצרכים מקצועיים. כל ששת ממדי האימוץ שנבדקו נמצאו קשורים לשימוש המקצועי, אך המנבאים החזקים ביותר היו דווקא המוטיבציה הנהנתנית והנכונות להשתמש, ואחריהם הרגשות החיוביים כלפי הטכנולוגיה; הציפייה לביצועים וההשפעה החברתית נמצאו קשורות במידה מתונה יותר. הציפייה למאמץ נמצאה קשורה לשימוש בכיוון שלילי, כלומר ככל שהכלי נתפס מסובך ותובעני יותר כך פחת השימוש בו, והשכלת המורה נמצאה קשורה לשימוש בכיוון חיובי, ואילו גיל ומגדר לא נמצאו קשורים כלל (דשן ואחרים, 2026).</w:t>
      </w:r>
    </w:p>
    <w:p>
      <w:pPr>
        <w:bidi/>
        <w:spacing w:after="120" w:line="360" w:lineRule="auto"/>
        <w:jc w:val="both"/>
      </w:pPr>
      <w:r>
        <w:rPr>
          <w:rFonts w:ascii="David" w:cs="David" w:hAnsi="David"/>
          <w:b w:val="false"/>
          <w:bCs w:val="false"/>
          <w:i w:val="false"/>
          <w:iCs w:val="false"/>
          <w:sz w:val="24"/>
          <w:szCs w:val="24"/>
          <w:rtl/>
        </w:rPr>
        <w:t xml:space="preserve">החוקרים מסיקים שאימוץ הטכנולוגיה בקרב מורים מונע במידה רבה ממניעים רגשיים וחווייתיים, הנאה, סקרנות, עניין ואמון, ולא משיקולי תועלת בלבד, דפוס המייחד את מגזר ההוראה. מכאן המלצותיהם: לפתח תרבות בית-ספרית המעודדת התנסות וחדשנות ומדגישה הנאה ויצירתיות; לטפח קהילות מורים לשיתוף ידע ולתמיכה הדדית; לבנות הכשרות פדגוגיות ממוקדות המדגימות את הערך ההוראתי של הכלים; ולגבש מדיניות מערכתית הכוללת תמיכה מוסדית ונגישות שוויונית למשאבים (דשן ואחרים, 2026). ממצאים אלה מאששים את 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בהקשר של הוראה ולמידה ומצביעים על הפחתת המאמץ הנתפס כמנוף המרכזי להרחבת השימוש (דשן ואחרים, 2026).</w:t>
      </w:r>
    </w:p>
    <w:p>
      <w:pPr>
        <w:bidi/>
        <w:spacing w:after="120" w:line="360" w:lineRule="auto"/>
        <w:jc w:val="both"/>
      </w:pPr>
      <w:r>
        <w:rPr>
          <w:rFonts w:ascii="David" w:cs="David" w:hAnsi="David"/>
          <w:b w:val="false"/>
          <w:bCs w:val="false"/>
          <w:i w:val="false"/>
          <w:iCs w:val="false"/>
          <w:sz w:val="24"/>
          <w:szCs w:val="24"/>
          <w:rtl/>
        </w:rPr>
        <w:t xml:space="preserve">בצד המעכב עומדת חרדת הבינה המלאכותית. 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מיפו, על בסיס תיאוריות של רכישת פחד ובמדגם של 494 משיבים, שמונה ממדים של חרדה זו: חשש מפגיעה בפרטיות; חשש מהתנהגות מוטה ומפלה של המערכות; חרדת החלפה בעבודה; חרדת למידה, כלומר החשש שהטכנולוגיה קשה מדי ללמידה; חרדה קיומית; חשש מהפרות אתיקה; חרדה מפני תודעה מלאכותית; וחשש מהיעדר שקיפות בקבלת ההחלטות של המערכות. הם מראים שחרדת בינה מלאכותית שונה במהותה מחרדת מחשב מסורתית, משום שהטכנולוגיה מקבלת החלטות באופן עצמאי, מתפתחת בעצמה ופועלת כ"קופסה שחורה", ולכן ממדים כמו הטיה, שקיפות ותודעה כלל אינם קיימים בחקר חרדת המחשב </w:t>
      </w:r>
      <w:r>
        <w:rPr>
          <w:rFonts w:ascii="Times New Roman" w:cs="Times New Roman" w:hAnsi="Times New Roman"/>
          <w:b w:val="false"/>
          <w:bCs w:val="false"/>
          <w:i w:val="false"/>
          <w:iCs w:val="false"/>
          <w:sz w:val="24"/>
          <w:szCs w:val="24"/>
          <w:rtl w:val="false"/>
        </w:rPr>
        <w:t xml:space="preserve">(Li &amp; Huang, 2020).</w:t>
      </w:r>
    </w:p>
    <w:p>
      <w:pPr>
        <w:bidi/>
        <w:spacing w:after="120" w:line="360" w:lineRule="auto"/>
        <w:jc w:val="both"/>
      </w:pPr>
      <w:r>
        <w:rPr>
          <w:rFonts w:ascii="David" w:cs="David" w:hAnsi="David"/>
          <w:b w:val="false"/>
          <w:bCs w:val="false"/>
          <w:i w:val="false"/>
          <w:iCs w:val="false"/>
          <w:sz w:val="24"/>
          <w:szCs w:val="24"/>
          <w:rtl/>
        </w:rPr>
        <w:t xml:space="preserve">עם זאת, עוצמת השפעתה של החרדה על התנהגות המורים אינה אחידה. במחקר שנסקר לעיל נמצא שרמת החרדה של המורים הייתה נמוכה, ושהיא לא ניבאה את כוונתם לעסוק בתחום; המנבאים המשמעותיים היו תחושת המסוגלות והרלוונטיות הנתפסת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ממצאים אלה מחזקים את התפיסה שההתמודדות עם עמדות מורים צריכה להתמקד בהעצמה, בהכשרה ובחיזוק תחושת המסוגלות, ולא רק בהפגת חששות (דשן ואחרים, 2026; </w:t>
      </w:r>
      <w:r>
        <w:rPr>
          <w:rFonts w:ascii="Times New Roman" w:cs="Times New Roman" w:hAnsi="Times New Roman"/>
          <w:b w:val="false"/>
          <w:bCs w:val="false"/>
          <w:i w:val="false"/>
          <w:iCs w:val="false"/>
          <w:sz w:val="24"/>
          <w:szCs w:val="24"/>
          <w:rtl w:val="false"/>
        </w:rPr>
        <w:t xml:space="preserve">Ayanwale et al., 2022).</w:t>
      </w:r>
    </w:p>
    <w:p>
      <w:pPr>
        <w:pageBreakBefore/>
        <w:bidi/>
        <w:spacing w:after="240" w:line="360" w:lineRule="auto"/>
        <w:jc w:val="both"/>
      </w:pPr>
      <w:r>
        <w:rPr>
          <w:rFonts w:ascii="David" w:cs="David" w:hAnsi="David"/>
          <w:b/>
          <w:bCs/>
          <w:i w:val="false"/>
          <w:iCs w:val="false"/>
          <w:sz w:val="28"/>
          <w:szCs w:val="28"/>
          <w:rtl/>
        </w:rPr>
        <w:t xml:space="preserve">7. אתגרים בשילוב טכנולוגיות למידה וכלי בינה מלאכותית בהוראת האנגלית</w:t>
      </w:r>
    </w:p>
    <w:p>
      <w:pPr>
        <w:bidi/>
        <w:spacing w:after="180" w:line="360" w:lineRule="auto"/>
        <w:jc w:val="both"/>
      </w:pPr>
      <w:r>
        <w:rPr>
          <w:rFonts w:ascii="David" w:cs="David" w:hAnsi="David"/>
          <w:b/>
          <w:bCs/>
          <w:i w:val="false"/>
          <w:iCs w:val="false"/>
          <w:sz w:val="24"/>
          <w:szCs w:val="24"/>
          <w:rtl/>
        </w:rPr>
        <w:t xml:space="preserve">7.1 פער בין עמדות ליישום, משאבים והתאמה דיסציפלינרית</w:t>
      </w:r>
    </w:p>
    <w:p>
      <w:pPr>
        <w:bidi/>
        <w:spacing w:after="120" w:line="360" w:lineRule="auto"/>
        <w:jc w:val="both"/>
      </w:pPr>
      <w:r>
        <w:rPr>
          <w:rFonts w:ascii="David" w:cs="David" w:hAnsi="David"/>
          <w:b w:val="false"/>
          <w:bCs w:val="false"/>
          <w:i w:val="false"/>
          <w:iCs w:val="false"/>
          <w:sz w:val="24"/>
          <w:szCs w:val="24"/>
          <w:rtl/>
        </w:rPr>
        <w:t xml:space="preserve">הספרות הישראלית מתעדת פער עקבי בין עמדות חיוביות של מורים ובין יישום בפועל. מחקר איכותני שבו רואיינו 24 מורי מתמטיקה בתיכון מצא שרובם רואים בעין יפה שילוב של תופעות מתמטיות מן הטבע והוראה בין-תחומית, ומכירים בערכן המוטיבציוני, אך כמעט אינם משלבים אותן בכיתה. החסמים שזיהו המורים היו לחץ בחינות הבגרות המכתיב את הנלמד, מחסור בשעות, תכנית לימודים עמוסה שהתכנים המעשירים אינם חלק ממנה, וחוסר ידע בתחומי דעת משיקים (מידז'נסקי ומלמד, 2022). הדפוס הזה, עמדה חיובית שאינה מתורגמת לפרקטיקה בשל אילוצי מערכת, צפוי להופיע גם בשילוב בינה מלאכותית בהוראת האנגלית: מורה יכול להאמין בערכו של הכלי ועדיין להימנע ממנו כאשר הזמן, השעות והתשתיות מוגבלים.</w:t>
      </w:r>
    </w:p>
    <w:p>
      <w:pPr>
        <w:bidi/>
        <w:spacing w:after="120" w:line="360" w:lineRule="auto"/>
        <w:jc w:val="both"/>
      </w:pPr>
      <w:r>
        <w:rPr>
          <w:rFonts w:ascii="David" w:cs="David" w:hAnsi="David"/>
          <w:b w:val="false"/>
          <w:bCs w:val="false"/>
          <w:i w:val="false"/>
          <w:iCs w:val="false"/>
          <w:sz w:val="24"/>
          <w:szCs w:val="24"/>
          <w:rtl/>
        </w:rPr>
        <w:t xml:space="preserve">אתגר נוסף הוא פערי נגישות. ההבדלים בין בתי ספר ובין אוכלוסיות אינם מתמצים בשאלה מי מחזיק במחשבים ובחיבור לרשת; הם נוגעים גם לאיכות השימוש, למיומנויות ולליווי, תופעה המכונה "פער דיגיטלי מסדר שני". פערים אלה מאיימים להעמיק דווקא עם כניסת כלים רבי-עוצמה, שכן מי שיודע להשתמש בהם מפיק מהם ערך רב, ומי שאינו יודע נותר מאחור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בהוראת האנגלית, שבה פערי החשיפה לשפה גדולים ממילא, לפער כזה משמעות מיוחדת </w:t>
      </w:r>
      <w:r>
        <w:rPr>
          <w:rFonts w:ascii="Times New Roman" w:cs="Times New Roman" w:hAnsi="Times New Roman"/>
          <w:b w:val="false"/>
          <w:bCs w:val="false"/>
          <w:i w:val="false"/>
          <w:iCs w:val="false"/>
          <w:sz w:val="24"/>
          <w:szCs w:val="24"/>
          <w:rtl w:val="false"/>
        </w:rPr>
        <w:t xml:space="preserve">(Ministry of Education, 2020).</w:t>
      </w:r>
    </w:p>
    <w:p>
      <w:pPr>
        <w:bidi/>
        <w:spacing w:after="180" w:line="360" w:lineRule="auto"/>
        <w:jc w:val="both"/>
      </w:pPr>
      <w:r>
        <w:rPr>
          <w:rFonts w:ascii="David" w:cs="David" w:hAnsi="David"/>
          <w:b/>
          <w:bCs/>
          <w:i w:val="false"/>
          <w:iCs w:val="false"/>
          <w:sz w:val="24"/>
          <w:szCs w:val="24"/>
          <w:rtl/>
        </w:rPr>
        <w:t xml:space="preserve">7.2 מחסור בהכשרה מקצועית</w:t>
      </w:r>
    </w:p>
    <w:p>
      <w:pPr>
        <w:bidi/>
        <w:spacing w:after="120" w:line="360" w:lineRule="auto"/>
        <w:jc w:val="both"/>
      </w:pPr>
      <w:r>
        <w:rPr>
          <w:rFonts w:ascii="David" w:cs="David" w:hAnsi="David"/>
          <w:b w:val="false"/>
          <w:bCs w:val="false"/>
          <w:i w:val="false"/>
          <w:iCs w:val="false"/>
          <w:sz w:val="24"/>
          <w:szCs w:val="24"/>
          <w:rtl/>
        </w:rPr>
        <w:t xml:space="preserve">גורם מעכב מרכזי נוסף הוא היעדר הכשרה מתאימה. הציפייה למאמץ נמצאה חסם ממשי לשימוש מקצועי בבינה מלאכותית יוצרת: ככל שהכלי נתפס מסובך יותר, פוחת השימוש בו. מכאן הצורך בהכשרות מעשיות והתנסותיות, בליווי אישי ובמשאבים זמינים שיהפכו את הכלי לנגיש ויקטינו את המאמץ הנתפס (דשן ואחרים, 2026). מסקנה דומה עולה מחקר המוכנות: ההמלצה המחקרית היא פיתוח מקצועי הכולל התנסות מודרכת ביסודות התחום, חיזוק תחושת המסוגלות וגיבוי מערכתי, שכן לא די בפיתוח תכנים ויש להשקיע במורים עצמם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ניסיון הקורונה מלמד שהדבר אפשרי: כאשר הצורך היה מיידי והמסגרת תמכה, מורים סיגלו כלים חדשים בקצב מהיר והביקוש להשתלמויות הוכפל (חיאק ואבידב-אונגר, 2022). קהילות מורים מקצועיות, שבהן עמיתים חולקים התנסויות ומודלים לחיקוי, נמצאו אף הן מנוף משמעותי, בהלימה לממצא על כוחה של ההשפעה החברתית (דשן ואחרים, 2026).</w:t>
      </w:r>
    </w:p>
    <w:p>
      <w:pPr>
        <w:bidi/>
        <w:spacing w:after="180" w:line="360" w:lineRule="auto"/>
        <w:jc w:val="both"/>
      </w:pPr>
      <w:r>
        <w:rPr>
          <w:rFonts w:ascii="David" w:cs="David" w:hAnsi="David"/>
          <w:b/>
          <w:bCs/>
          <w:i w:val="false"/>
          <w:iCs w:val="false"/>
          <w:sz w:val="24"/>
          <w:szCs w:val="24"/>
          <w:rtl/>
        </w:rPr>
        <w:t xml:space="preserve">7.3 חששות אתיים וחינוכיים</w:t>
      </w:r>
    </w:p>
    <w:p>
      <w:pPr>
        <w:bidi/>
        <w:spacing w:after="120" w:line="360" w:lineRule="auto"/>
        <w:jc w:val="both"/>
      </w:pPr>
      <w:r>
        <w:rPr>
          <w:rFonts w:ascii="David" w:cs="David" w:hAnsi="David"/>
          <w:b w:val="false"/>
          <w:bCs w:val="false"/>
          <w:i w:val="false"/>
          <w:iCs w:val="false"/>
          <w:sz w:val="24"/>
          <w:szCs w:val="24"/>
          <w:rtl/>
        </w:rPr>
        <w:t xml:space="preserve">בהוראת שפה מתחדדים חששות ייחודיים. הסתמכות יתר של תלמידים על הכלי בכתיבה ובתרגום עלולה לפגוע בפיתוח מיומנויות היסוד שהשיעור נועד להקנות, שהרי מטרת מטלת הכתיבה איננה התוצר אלא התהליך שהלומד עובר; והערכת הישגים מסורתית מאבדת מתוקפה כאשר הכלי מסוגל לבצע את המטלה במקום הלומד </w:t>
      </w:r>
      <w:r>
        <w:rPr>
          <w:rFonts w:ascii="Times New Roman" w:cs="Times New Roman" w:hAnsi="Times New Roman"/>
          <w:b w:val="false"/>
          <w:bCs w:val="false"/>
          <w:i w:val="false"/>
          <w:iCs w:val="false"/>
          <w:sz w:val="24"/>
          <w:szCs w:val="24"/>
          <w:rtl w:val="false"/>
        </w:rPr>
        <w:t xml:space="preserve">(Kohnke et al., 2023; Mishra et al., 2023). </w:t>
      </w:r>
      <w:r>
        <w:rPr>
          <w:rFonts w:ascii="David" w:cs="David" w:hAnsi="David"/>
          <w:b w:val="false"/>
          <w:bCs w:val="false"/>
          <w:i w:val="false"/>
          <w:iCs w:val="false"/>
          <w:sz w:val="24"/>
          <w:szCs w:val="24"/>
          <w:rtl/>
        </w:rPr>
        <w:t xml:space="preserve">נוספים לכך סיכוני מידע שגוי והטיות תרבותיות בטקסטים שהכלי מפיק, רגישים במיוחד כאשר הלומדים צעירים ואינם מסוגלים עדיין לזהותם </w:t>
      </w:r>
      <w:r>
        <w:rPr>
          <w:rFonts w:ascii="Times New Roman" w:cs="Times New Roman" w:hAnsi="Times New Roman"/>
          <w:b w:val="false"/>
          <w:bCs w:val="false"/>
          <w:i w:val="false"/>
          <w:iCs w:val="false"/>
          <w:sz w:val="24"/>
          <w:szCs w:val="24"/>
          <w:rtl w:val="false"/>
        </w:rPr>
        <w:t xml:space="preserve">(Holmes &amp; Miao, 2023; Ng et al., 2021).</w:t>
      </w:r>
    </w:p>
    <w:p>
      <w:pPr>
        <w:bidi/>
        <w:spacing w:after="120" w:line="360" w:lineRule="auto"/>
        <w:jc w:val="both"/>
      </w:pPr>
      <w:r>
        <w:rPr>
          <w:rFonts w:ascii="David" w:cs="David" w:hAnsi="David"/>
          <w:b w:val="false"/>
          <w:bCs w:val="false"/>
          <w:i w:val="false"/>
          <w:iCs w:val="false"/>
          <w:sz w:val="24"/>
          <w:szCs w:val="24"/>
          <w:rtl/>
        </w:rPr>
        <w:t xml:space="preserve">בעבודה עם קטינים מצטרפות לכך דרישות הרגולציה: הסכמת הורים מודעת, שמירה על אנונימיות ואיסור הזנת מידע אישי, שימוש בכלים מאושרים בלבד והתאמת השימוש לגיל (משרד החינוך, 2025). האתגר העומד בפני המורה איננו אפוא טכני בלבד אלא ערכי וחינוכי: לתווך ללומדים הצעירים שימוש ביקורתי, אתי ואחראי בטכנולוגיה, בגיל שבו החשיבה הביקורתית עודנה מתפתחת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האופן שבו מורי האנגלית תופסים את מכלול האתגרים הללו, לצד הפוטנציאל, הוא שיעצב את החלטותיהם בכיתה, וזו ליבת המחקר הנוכחי.</w:t>
      </w:r>
    </w:p>
    <w:p>
      <w:pPr>
        <w:pageBreakBefore/>
        <w:bidi/>
        <w:spacing w:after="240" w:line="360" w:lineRule="auto"/>
        <w:jc w:val="both"/>
      </w:pPr>
      <w:r>
        <w:rPr>
          <w:rFonts w:ascii="David" w:cs="David" w:hAnsi="David"/>
          <w:b/>
          <w:bCs/>
          <w:i w:val="false"/>
          <w:iCs w:val="false"/>
          <w:sz w:val="28"/>
          <w:szCs w:val="28"/>
          <w:rtl/>
        </w:rPr>
        <w:t xml:space="preserve">8. תפיסות מורי אנגלית בבית הספר היסודי כלפי שילוב בינה מלאכותית יוצרת</w:t>
      </w:r>
    </w:p>
    <w:p>
      <w:pPr>
        <w:bidi/>
        <w:spacing w:after="120" w:line="360" w:lineRule="auto"/>
        <w:jc w:val="both"/>
      </w:pPr>
      <w:r>
        <w:rPr>
          <w:rFonts w:ascii="David" w:cs="David" w:hAnsi="David"/>
          <w:b w:val="false"/>
          <w:bCs w:val="false"/>
          <w:i w:val="false"/>
          <w:iCs w:val="false"/>
          <w:sz w:val="24"/>
          <w:szCs w:val="24"/>
          <w:rtl/>
        </w:rPr>
        <w:t xml:space="preserve">קצה המשפך של סקירה זו הוא המפגש שבין כל הגורמים שנדונו: מורי אנגלית בבית הספר היסודי בישראל העומדים מול כלי בינה מלאכותית יוצרת. הוראת האנגלית היא מקרה מבחן מובהק לשילוב כלים אלה, משום שהטכנולוגיה פועלת בליבת הדיסציפלינה, ייצור שפה, והיא מציעה למורה בדיוק את מה שקשה להשיג בכיתה הטרוגנית: קלט מדורג לכל לומד, תרגול אישי בסביבה נטולת שיפוטיות ומשוב מיידי </w:t>
      </w:r>
      <w:r>
        <w:rPr>
          <w:rFonts w:ascii="Times New Roman" w:cs="Times New Roman" w:hAnsi="Times New Roman"/>
          <w:b w:val="false"/>
          <w:bCs w:val="false"/>
          <w:i w:val="false"/>
          <w:iCs w:val="false"/>
          <w:sz w:val="24"/>
          <w:szCs w:val="24"/>
          <w:rtl w:val="false"/>
        </w:rPr>
        <w:t xml:space="preserve">(Kohnke et al., 2023; Krashen, 1982). </w:t>
      </w:r>
      <w:r>
        <w:rPr>
          <w:rFonts w:ascii="David" w:cs="David" w:hAnsi="David"/>
          <w:b w:val="false"/>
          <w:bCs w:val="false"/>
          <w:i w:val="false"/>
          <w:iCs w:val="false"/>
          <w:sz w:val="24"/>
          <w:szCs w:val="24"/>
          <w:rtl/>
        </w:rPr>
        <w:t xml:space="preserve">התאמה עקרונית זו בין יכולות הכלי ובין צורכי ההוראה מסבירה מדוע דווקא מורי השפות נמצאים בחזית הדיון. בה בעת, העבודה עם לומדים צעירים מחדדת את הסיכונים, מדיוק לשוני ותרבותי של התוצרים ועד הגנה על פרטיות קטינים, ומחייבת עמידה בהנחיות רגולטוריות מפורטות (משרד החינוך, 2025).</w:t>
      </w:r>
    </w:p>
    <w:p>
      <w:pPr>
        <w:bidi/>
        <w:spacing w:after="120" w:line="360" w:lineRule="auto"/>
        <w:jc w:val="both"/>
      </w:pPr>
      <w:r>
        <w:rPr>
          <w:rFonts w:ascii="David" w:cs="David" w:hAnsi="David"/>
          <w:b w:val="false"/>
          <w:bCs w:val="false"/>
          <w:i w:val="false"/>
          <w:iCs w:val="false"/>
          <w:sz w:val="24"/>
          <w:szCs w:val="24"/>
          <w:rtl/>
        </w:rPr>
        <w:t xml:space="preserve">הידע המחקרי הקיים מקיף את מעגלי ההקשר של השאלה אך טרם הגיע אל מרכזה. ידוע שאימוץ טכנולוגיה בקרב משתמשים תלוי בתפיסות סובייקטיביות של שימושיות ושל קלות שימוש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ושבאימוץ בינה מלאכותית נוספים לכך תהליך הערכה רב-שלבי שההכרעה בו עוברת דרך הרגש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ידוע שבישראל המוטיבציה הנהנתנית, הנכונות להתנסות והרגשות החיוביים הם המנבאים החזקים של שימוש מקצועי בקרב מורים בכלל, ושהמאמץ הנתפס הוא החסם המרכזי (דשן ואחרים, 2026). ידוע שמסוגלות ורלוונטיות נתפסת מנבאות כוונת עיסוק בתחום יותר מאשר חרדה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שהידע ההקשרי מכריע בהצלחת השילוב </w:t>
      </w:r>
      <w:r>
        <w:rPr>
          <w:rFonts w:ascii="Times New Roman" w:cs="Times New Roman" w:hAnsi="Times New Roman"/>
          <w:b w:val="false"/>
          <w:bCs w:val="false"/>
          <w:i w:val="false"/>
          <w:iCs w:val="false"/>
          <w:sz w:val="24"/>
          <w:szCs w:val="24"/>
          <w:rtl w:val="false"/>
        </w:rPr>
        <w:t xml:space="preserve">(Mishra, 2019; Mishra et al., 2023), </w:t>
      </w:r>
      <w:r>
        <w:rPr>
          <w:rFonts w:ascii="David" w:cs="David" w:hAnsi="David"/>
          <w:b w:val="false"/>
          <w:bCs w:val="false"/>
          <w:i w:val="false"/>
          <w:iCs w:val="false"/>
          <w:sz w:val="24"/>
          <w:szCs w:val="24"/>
          <w:rtl/>
        </w:rPr>
        <w:t xml:space="preserve">ושבהוראת שפות לכלי פוטנציאל פדגוגי ניכר לצד מגבלות מתועדות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ואולם מחקרים אלה עסקו במורים באשר הם, בלומדים בוגרים או בהקשרים שאינם ישראליים. מורי האנגלית בבית הספר היסודי בישראל פועלים בצומת ייחודי: הם מלמדים שפה זרה ללומדים צעירים, בכפוף לתכנית לימודים ארצית ולרגולציה מחייבת, בכיתות הטרוגניות ובתנאי משאבים משתנים, ותפיסותיהם את הכלי החדש טרם נחקרו לעומק. גם הספרות הישראלית שנסקרה מלמדת שעמדה חיובית איננה ערובה ליישום, ושחסמי מערכת עשויים להכריע את הכף (מידז'נסקי ומלמד, 2022). את הפער הזה מבקש המחקר הנוכחי למלא, באמצעות בחינה איכותנית של האופן שבו מורי אנגלית ביסודי תופסים את שילוב כלי הבינה המלאכותית היוצרת בהוראתם: התועלות שהם מזהים, החסמים שהם חווים, הרגשות המלווים את ההתנסות ומה שנדרש להם, להבנתם, כדי לשלב את הטכנולוגיה באופן מיטבי. הבנת תפיסות אלה עשויה לסייע בעיצוב הכשרות, מדיניות בית-ספרית ותכניות הטמעה המותאמות למורי האנגלית ביסודי.</w:t>
      </w:r>
    </w:p>
    <w:p>
      <w:pPr>
        <w:pageBreakBefore/>
        <w:bidi/>
        <w:spacing w:after="240" w:line="360" w:lineRule="auto"/>
        <w:jc w:val="both"/>
      </w:pPr>
      <w:r>
        <w:rPr>
          <w:rFonts w:ascii="David" w:cs="David" w:hAnsi="David"/>
          <w:b/>
          <w:bCs/>
          <w:i w:val="false"/>
          <w:iCs w:val="false"/>
          <w:sz w:val="28"/>
          <w:szCs w:val="28"/>
          <w:rtl/>
        </w:rPr>
        <w:t xml:space="preserve">רשימת מקורות</w:t>
      </w:r>
    </w:p>
    <w:p>
      <w:pPr>
        <w:bidi/>
        <w:spacing w:after="120" w:line="360" w:lineRule="auto"/>
        <w:ind w:start="709" w:hanging="709"/>
        <w:jc w:val="both"/>
      </w:pPr>
      <w:r>
        <w:rPr>
          <w:rFonts w:ascii="David" w:cs="David" w:hAnsi="David"/>
          <w:b w:val="false"/>
          <w:bCs w:val="false"/>
          <w:i w:val="false"/>
          <w:iCs w:val="false"/>
          <w:sz w:val="24"/>
          <w:szCs w:val="24"/>
          <w:rtl/>
        </w:rPr>
        <w:t xml:space="preserve">דשן, מ', הררי, ר' ואהרוני, נ' (2026). אימוץ בינה מלאכותית יוצרת </w:t>
      </w:r>
      <w:r>
        <w:rPr>
          <w:rFonts w:ascii="Times New Roman" w:cs="Times New Roman" w:hAnsi="Times New Roman"/>
          <w:b w:val="false"/>
          <w:bCs w:val="false"/>
          <w:i w:val="false"/>
          <w:iCs w:val="false"/>
          <w:sz w:val="24"/>
          <w:szCs w:val="24"/>
          <w:rtl w:val="false"/>
        </w:rPr>
        <w:t xml:space="preserve">(GenAI) </w:t>
      </w:r>
      <w:r>
        <w:rPr>
          <w:rFonts w:ascii="David" w:cs="David" w:hAnsi="David"/>
          <w:b w:val="false"/>
          <w:bCs w:val="false"/>
          <w:i w:val="false"/>
          <w:iCs w:val="false"/>
          <w:sz w:val="24"/>
          <w:szCs w:val="24"/>
          <w:rtl/>
        </w:rPr>
        <w:t xml:space="preserve">לצורכי הוראה בקרב מורים. בתוך א' בלאו, ד' אולניק-שמש, נ' גרי, א' כספי, י' סידי, י' עשת-אלקלעי, י' קלמן ונ' ברנדל (עורכים), </w:t>
      </w:r>
      <w:r>
        <w:rPr>
          <w:rFonts w:ascii="David" w:cs="David" w:hAnsi="David"/>
          <w:b w:val="false"/>
          <w:bCs w:val="false"/>
          <w:i/>
          <w:iCs/>
          <w:sz w:val="24"/>
          <w:szCs w:val="24"/>
          <w:rtl/>
        </w:rPr>
        <w:t xml:space="preserve">ספר הכנס העשרים ואחד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ע49-ע56).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חיאק, מ' ואבידב-אונגר, א' (2022). "משני צידי המתרס": תפיסותיהם של בעלי תפקידים אקדמיים בכירים במכללות להכשרת מורים ביחס לשילוב טכנולוגיה בהוראה במהלך מגפת הקורונה. בתוך י' עשת-אלקלעי, א' בלאו, נ' גרי, א' כספי, ת' לוטרמן, י' סידי וי' קלמן (עורכים), </w:t>
      </w:r>
      <w:r>
        <w:rPr>
          <w:rFonts w:ascii="David" w:cs="David" w:hAnsi="David"/>
          <w:b w:val="false"/>
          <w:bCs w:val="false"/>
          <w:i/>
          <w:iCs/>
          <w:sz w:val="24"/>
          <w:szCs w:val="24"/>
          <w:rtl/>
        </w:rPr>
        <w:t xml:space="preserve">ספר הכנס השבעה-עשר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ע140-ע146).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(2024). טכנולוגיות כסוכני שינוי [מצגת הרצאה].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ורונן, ה' (2026). 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עמדות ותפיסות [מצגת הרצאה]. קורס סמינר,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מורגנשטרן, ע', פינטו, א', גרהוף, ע', הופמן, ת', לוטטי, ש' וצבירן, ל' (2020). </w:t>
      </w:r>
      <w:r>
        <w:rPr>
          <w:rFonts w:ascii="David" w:cs="David" w:hAnsi="David"/>
          <w:b w:val="false"/>
          <w:bCs w:val="false"/>
          <w:i/>
          <w:iCs/>
          <w:sz w:val="24"/>
          <w:szCs w:val="24"/>
          <w:rtl/>
        </w:rPr>
        <w:t xml:space="preserve">פדגוגיה מוטת עתיד 3: מגמות, אתגרים, עקרונות והמלצות</w:t>
      </w:r>
      <w:r>
        <w:rPr>
          <w:rFonts w:ascii="David" w:cs="David" w:hAnsi="David"/>
          <w:b w:val="false"/>
          <w:bCs w:val="false"/>
          <w:i w:val="false"/>
          <w:iCs w:val="false"/>
          <w:sz w:val="24"/>
          <w:szCs w:val="24"/>
          <w:rtl/>
        </w:rPr>
        <w:t xml:space="preserve">. משרד החינוך.</w:t>
      </w:r>
    </w:p>
    <w:p>
      <w:pPr>
        <w:bidi/>
        <w:spacing w:after="120" w:line="360" w:lineRule="auto"/>
        <w:ind w:start="709" w:hanging="709"/>
        <w:jc w:val="both"/>
      </w:pPr>
      <w:r>
        <w:rPr>
          <w:rFonts w:ascii="David" w:cs="David" w:hAnsi="David"/>
          <w:b w:val="false"/>
          <w:bCs w:val="false"/>
          <w:i w:val="false"/>
          <w:iCs w:val="false"/>
          <w:sz w:val="24"/>
          <w:szCs w:val="24"/>
          <w:rtl/>
        </w:rPr>
        <w:t xml:space="preserve">מידז'נסקי, ש' ומלמד, ד' (2022). תופעות מתמטיות בטבע ושילובן בהוראת המקצוע בתיכון מנקודת מבטם של מורים למתמטיקה. </w:t>
      </w:r>
      <w:r>
        <w:rPr>
          <w:rFonts w:ascii="David" w:cs="David" w:hAnsi="David"/>
          <w:b w:val="false"/>
          <w:bCs w:val="false"/>
          <w:i/>
          <w:iCs/>
          <w:sz w:val="24"/>
          <w:szCs w:val="24"/>
          <w:rtl/>
        </w:rPr>
        <w:t xml:space="preserve">מחקר ועיון בחינוך מתמטי, 9</w:t>
      </w:r>
      <w:r>
        <w:rPr>
          <w:rFonts w:ascii="David" w:cs="David" w:hAnsi="David"/>
          <w:b w:val="false"/>
          <w:bCs w:val="false"/>
          <w:i w:val="false"/>
          <w:iCs w:val="false"/>
          <w:sz w:val="24"/>
          <w:szCs w:val="24"/>
          <w:rtl/>
        </w:rPr>
        <w:t xml:space="preserve">, 78-85.</w:t>
      </w:r>
    </w:p>
    <w:p>
      <w:pPr>
        <w:bidi/>
        <w:spacing w:after="120" w:line="360" w:lineRule="auto"/>
        <w:ind w:start="709" w:hanging="709"/>
        <w:jc w:val="both"/>
      </w:pPr>
      <w:r>
        <w:rPr>
          <w:rFonts w:ascii="David" w:cs="David" w:hAnsi="David"/>
          <w:b w:val="false"/>
          <w:bCs w:val="false"/>
          <w:i w:val="false"/>
          <w:iCs w:val="false"/>
          <w:sz w:val="24"/>
          <w:szCs w:val="24"/>
          <w:rtl/>
        </w:rPr>
        <w:t xml:space="preserve">משרד החינוך (2025). </w:t>
      </w:r>
      <w:r>
        <w:rPr>
          <w:rFonts w:ascii="David" w:cs="David" w:hAnsi="David"/>
          <w:b w:val="false"/>
          <w:bCs w:val="false"/>
          <w:i/>
          <w:iCs/>
          <w:sz w:val="24"/>
          <w:szCs w:val="24"/>
          <w:rtl/>
        </w:rPr>
        <w:t xml:space="preserve">הנחיות שימוש בכלי בינה מלאכותית במערכת החינוך</w:t>
      </w:r>
      <w:r>
        <w:rPr>
          <w:rFonts w:ascii="David" w:cs="David" w:hAnsi="David"/>
          <w:b w:val="false"/>
          <w:bCs w:val="false"/>
          <w:i w:val="false"/>
          <w:iCs w:val="false"/>
          <w:sz w:val="24"/>
          <w:szCs w:val="24"/>
          <w:rtl/>
        </w:rPr>
        <w:t xml:space="preserve">. הקטלוג החינוכי, אתר משרד החינוך.</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tl w:val="false"/>
        </w:rPr>
        <w:t xml:space="preserve">Computers and Education: Artificial Intelligence, 3</w:t>
      </w:r>
      <w:r>
        <w:rPr>
          <w:rFonts w:ascii="Times New Roman" w:cs="Times New Roman" w:hAnsi="Times New Roman"/>
          <w:b w:val="false"/>
          <w:bCs w:val="false"/>
          <w:i w:val="false"/>
          <w:iCs w:val="false"/>
          <w:sz w:val="24"/>
          <w:szCs w:val="24"/>
          <w:rtl w:val="false"/>
        </w:rPr>
        <w:t xml:space="preserve">, Article 100099. https://doi.org/10.1016/j.caeai.2022.100099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Cameron, L. (2001). </w:t>
      </w:r>
      <w:r>
        <w:rPr>
          <w:rFonts w:ascii="Times New Roman" w:cs="Times New Roman" w:hAnsi="Times New Roman"/>
          <w:b w:val="false"/>
          <w:bCs w:val="false"/>
          <w:i/>
          <w:iCs/>
          <w:sz w:val="24"/>
          <w:szCs w:val="24"/>
          <w:rtl w:val="false"/>
        </w:rPr>
        <w:t xml:space="preserve">Teaching languages to young learners</w:t>
      </w:r>
      <w:r>
        <w:rPr>
          <w:rFonts w:ascii="Times New Roman" w:cs="Times New Roman" w:hAnsi="Times New Roman"/>
          <w:b w:val="false"/>
          <w:bCs w:val="false"/>
          <w:i w:val="false"/>
          <w:iCs w:val="false"/>
          <w:sz w:val="24"/>
          <w:szCs w:val="24"/>
          <w:rtl w:val="false"/>
        </w:rPr>
        <w:t xml:space="preserve">. Cambridge University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Celik, I., Dindar, M., Muukkonen, H., &amp; Järvelä, S. (2022). The promises and challenges of artificial intelligence for teachers: A systematic review of research. </w:t>
      </w:r>
      <w:r>
        <w:rPr>
          <w:rFonts w:ascii="Times New Roman" w:cs="Times New Roman" w:hAnsi="Times New Roman"/>
          <w:b w:val="false"/>
          <w:bCs w:val="false"/>
          <w:i/>
          <w:iCs/>
          <w:sz w:val="24"/>
          <w:szCs w:val="24"/>
          <w:rtl w:val="false"/>
        </w:rPr>
        <w:t xml:space="preserve">TechTrends, 66</w:t>
      </w:r>
      <w:r>
        <w:rPr>
          <w:rFonts w:ascii="David" w:cs="David" w:hAnsi="David"/>
          <w:b w:val="false"/>
          <w:bCs w:val="false"/>
          <w:i w:val="false"/>
          <w:iCs w:val="false"/>
          <w:sz w:val="24"/>
          <w:szCs w:val="24"/>
          <w:rtl/>
        </w:rPr>
        <w:t xml:space="preserve">(4), 616-630.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Davis, F. D. (1989). Perceived usefulness, perceived ease of use, and user acceptance of information technology. </w:t>
      </w:r>
      <w:r>
        <w:rPr>
          <w:rFonts w:ascii="Times New Roman" w:cs="Times New Roman" w:hAnsi="Times New Roman"/>
          <w:b w:val="false"/>
          <w:bCs w:val="false"/>
          <w:i/>
          <w:iCs/>
          <w:sz w:val="24"/>
          <w:szCs w:val="24"/>
          <w:rtl w:val="false"/>
        </w:rPr>
        <w:t xml:space="preserve">MIS Quarterly, 13</w:t>
      </w:r>
      <w:r>
        <w:rPr>
          <w:rFonts w:ascii="David" w:cs="David" w:hAnsi="David"/>
          <w:b w:val="false"/>
          <w:bCs w:val="false"/>
          <w:i w:val="false"/>
          <w:iCs w:val="false"/>
          <w:sz w:val="24"/>
          <w:szCs w:val="24"/>
          <w:rtl/>
        </w:rPr>
        <w:t xml:space="preserve">(3), 319-340.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Gašević, D., Siemens, G., &amp; Sadiq, S. (2023). Empowering learners for the age of artificial intelligence. </w:t>
      </w:r>
      <w:r>
        <w:rPr>
          <w:rFonts w:ascii="Times New Roman" w:cs="Times New Roman" w:hAnsi="Times New Roman"/>
          <w:b w:val="false"/>
          <w:bCs w:val="false"/>
          <w:i/>
          <w:iCs/>
          <w:sz w:val="24"/>
          <w:szCs w:val="24"/>
          <w:rtl w:val="false"/>
        </w:rPr>
        <w:t xml:space="preserve">Computers and Education: Artificial Intelligence, 4</w:t>
      </w:r>
      <w:r>
        <w:rPr>
          <w:rFonts w:ascii="Times New Roman" w:cs="Times New Roman" w:hAnsi="Times New Roman"/>
          <w:b w:val="false"/>
          <w:bCs w:val="false"/>
          <w:i w:val="false"/>
          <w:iCs w:val="false"/>
          <w:sz w:val="24"/>
          <w:szCs w:val="24"/>
          <w:rtl w:val="false"/>
        </w:rPr>
        <w:t xml:space="preserve">, Article 100130.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Gursoy, D., Chi, O. H., Lu, L., &amp; Nunkoo, R. (2019). Consumers acceptance of artificially intelligent (AI) device use in service delivery. </w:t>
      </w:r>
      <w:r>
        <w:rPr>
          <w:rFonts w:ascii="Times New Roman" w:cs="Times New Roman" w:hAnsi="Times New Roman"/>
          <w:b w:val="false"/>
          <w:bCs w:val="false"/>
          <w:i/>
          <w:iCs/>
          <w:sz w:val="24"/>
          <w:szCs w:val="24"/>
          <w:rtl w:val="false"/>
        </w:rPr>
        <w:t xml:space="preserve">International Journal of Information Management, 49</w:t>
      </w:r>
      <w:r>
        <w:rPr>
          <w:rFonts w:ascii="Times New Roman" w:cs="Times New Roman" w:hAnsi="Times New Roman"/>
          <w:b w:val="false"/>
          <w:bCs w:val="false"/>
          <w:i w:val="false"/>
          <w:iCs w:val="false"/>
          <w:sz w:val="24"/>
          <w:szCs w:val="24"/>
          <w:rtl w:val="false"/>
        </w:rPr>
        <w:t xml:space="preserve">, 157-169. https://doi.org/10.1016/j.ijinfomgt.2019.03.008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Holmes, W., &amp; Miao, F. (2023). </w:t>
      </w:r>
      <w:r>
        <w:rPr>
          <w:rFonts w:ascii="Times New Roman" w:cs="Times New Roman" w:hAnsi="Times New Roman"/>
          <w:b w:val="false"/>
          <w:bCs w:val="false"/>
          <w:i/>
          <w:iCs/>
          <w:sz w:val="24"/>
          <w:szCs w:val="24"/>
          <w:rtl w:val="false"/>
        </w:rPr>
        <w:t xml:space="preserve">Guidance for generative AI in education and research</w:t>
      </w:r>
      <w:r>
        <w:rPr>
          <w:rFonts w:ascii="Times New Roman" w:cs="Times New Roman" w:hAnsi="Times New Roman"/>
          <w:b w:val="false"/>
          <w:bCs w:val="false"/>
          <w:i w:val="false"/>
          <w:iCs w:val="false"/>
          <w:sz w:val="24"/>
          <w:szCs w:val="24"/>
          <w:rtl w:val="false"/>
        </w:rPr>
        <w:t xml:space="preserve">. UNESCO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Kohnke, L., Moorhouse, B. L., &amp; Zou, D. (2023). ChatGPT for language teaching and learning. </w:t>
      </w:r>
      <w:r>
        <w:rPr>
          <w:rFonts w:ascii="Times New Roman" w:cs="Times New Roman" w:hAnsi="Times New Roman"/>
          <w:b w:val="false"/>
          <w:bCs w:val="false"/>
          <w:i/>
          <w:iCs/>
          <w:sz w:val="24"/>
          <w:szCs w:val="24"/>
          <w:rtl w:val="false"/>
        </w:rPr>
        <w:t xml:space="preserve">RELC Journal, 54</w:t>
      </w:r>
      <w:r>
        <w:rPr>
          <w:rFonts w:ascii="David" w:cs="David" w:hAnsi="David"/>
          <w:b w:val="false"/>
          <w:bCs w:val="false"/>
          <w:i w:val="false"/>
          <w:iCs w:val="false"/>
          <w:sz w:val="24"/>
          <w:szCs w:val="24"/>
          <w:rtl/>
        </w:rPr>
        <w:t xml:space="preserve">(2), 537-550.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Krashen, S. D. (1982). </w:t>
      </w:r>
      <w:r>
        <w:rPr>
          <w:rFonts w:ascii="Times New Roman" w:cs="Times New Roman" w:hAnsi="Times New Roman"/>
          <w:b w:val="false"/>
          <w:bCs w:val="false"/>
          <w:i/>
          <w:iCs/>
          <w:sz w:val="24"/>
          <w:szCs w:val="24"/>
          <w:rtl w:val="false"/>
        </w:rPr>
        <w:t xml:space="preserve">Principles and practice in second language acquisition</w:t>
      </w:r>
      <w:r>
        <w:rPr>
          <w:rFonts w:ascii="Times New Roman" w:cs="Times New Roman" w:hAnsi="Times New Roman"/>
          <w:b w:val="false"/>
          <w:bCs w:val="false"/>
          <w:i w:val="false"/>
          <w:iCs w:val="false"/>
          <w:sz w:val="24"/>
          <w:szCs w:val="24"/>
          <w:rtl w:val="false"/>
        </w:rPr>
        <w:t xml:space="preserve">. Pergamon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Li, J., &amp; Huang, J.-S. (2020). Dimensions of artificial intelligence anxiety based on the integrated fear acquisition theory. </w:t>
      </w:r>
      <w:r>
        <w:rPr>
          <w:rFonts w:ascii="Times New Roman" w:cs="Times New Roman" w:hAnsi="Times New Roman"/>
          <w:b w:val="false"/>
          <w:bCs w:val="false"/>
          <w:i/>
          <w:iCs/>
          <w:sz w:val="24"/>
          <w:szCs w:val="24"/>
          <w:rtl w:val="false"/>
        </w:rPr>
        <w:t xml:space="preserve">Technology in Society, 63</w:t>
      </w:r>
      <w:r>
        <w:rPr>
          <w:rFonts w:ascii="Times New Roman" w:cs="Times New Roman" w:hAnsi="Times New Roman"/>
          <w:b w:val="false"/>
          <w:bCs w:val="false"/>
          <w:i w:val="false"/>
          <w:iCs w:val="false"/>
          <w:sz w:val="24"/>
          <w:szCs w:val="24"/>
          <w:rtl w:val="false"/>
        </w:rPr>
        <w:t xml:space="preserve">, Article 101410. https://doi.org/10.1016/j.techsoc.2020.101410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Ministry of Education. (2020). </w:t>
      </w:r>
      <w:r>
        <w:rPr>
          <w:rFonts w:ascii="Times New Roman" w:cs="Times New Roman" w:hAnsi="Times New Roman"/>
          <w:b w:val="false"/>
          <w:bCs w:val="false"/>
          <w:i/>
          <w:iCs/>
          <w:sz w:val="24"/>
          <w:szCs w:val="24"/>
          <w:rtl w:val="false"/>
        </w:rPr>
        <w:t xml:space="preserve">English curriculum 2020: Principles and standards for learning English as an international language for all grades</w:t>
      </w:r>
      <w:r>
        <w:rPr>
          <w:rFonts w:ascii="Times New Roman" w:cs="Times New Roman" w:hAnsi="Times New Roman"/>
          <w:b w:val="false"/>
          <w:bCs w:val="false"/>
          <w:i w:val="false"/>
          <w:iCs w:val="false"/>
          <w:sz w:val="24"/>
          <w:szCs w:val="24"/>
          <w:rtl w:val="false"/>
        </w:rPr>
        <w:t xml:space="preserve">. State of Israel, Ministry of Education.</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(2019). Considering contextual knowledge: The TPACK diagram gets an upgrade. </w:t>
      </w:r>
      <w:r>
        <w:rPr>
          <w:rFonts w:ascii="Times New Roman" w:cs="Times New Roman" w:hAnsi="Times New Roman"/>
          <w:b w:val="false"/>
          <w:bCs w:val="false"/>
          <w:i/>
          <w:iCs/>
          <w:sz w:val="24"/>
          <w:szCs w:val="24"/>
          <w:rtl w:val="false"/>
        </w:rPr>
        <w:t xml:space="preserve">Journal of Digital Learning in Teacher Education, 35</w:t>
      </w:r>
      <w:r>
        <w:rPr>
          <w:rFonts w:ascii="Times New Roman" w:cs="Times New Roman" w:hAnsi="Times New Roman"/>
          <w:b w:val="false"/>
          <w:bCs w:val="false"/>
          <w:i w:val="false"/>
          <w:iCs w:val="false"/>
          <w:sz w:val="24"/>
          <w:szCs w:val="24"/>
          <w:rtl w:val="false"/>
        </w:rPr>
        <w:t xml:space="preserve">(2), 76-78. https://doi.org/10.1080/21532974.2019.1588611</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&amp; Koehler, M. J. (2009). Too cool for school? No way! Using the TPACK framework: You can have your hot tools and teach with them, too. </w:t>
      </w:r>
      <w:r>
        <w:rPr>
          <w:rFonts w:ascii="Times New Roman" w:cs="Times New Roman" w:hAnsi="Times New Roman"/>
          <w:b w:val="false"/>
          <w:bCs w:val="false"/>
          <w:i/>
          <w:iCs/>
          <w:sz w:val="24"/>
          <w:szCs w:val="24"/>
          <w:rtl w:val="false"/>
        </w:rPr>
        <w:t xml:space="preserve">Learning &amp; Leading with Technology, 36</w:t>
      </w:r>
      <w:r>
        <w:rPr>
          <w:rFonts w:ascii="David" w:cs="David" w:hAnsi="David"/>
          <w:b w:val="false"/>
          <w:bCs w:val="false"/>
          <w:i w:val="false"/>
          <w:iCs w:val="false"/>
          <w:sz w:val="24"/>
          <w:szCs w:val="24"/>
          <w:rtl/>
        </w:rPr>
        <w:t xml:space="preserve">(7), 14-18.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Warr, M., &amp; Islam, R. (2023). TPACK in the age of ChatGPT and Generative AI. </w:t>
      </w:r>
      <w:r>
        <w:rPr>
          <w:rFonts w:ascii="Times New Roman" w:cs="Times New Roman" w:hAnsi="Times New Roman"/>
          <w:b w:val="false"/>
          <w:bCs w:val="false"/>
          <w:i/>
          <w:iCs/>
          <w:sz w:val="24"/>
          <w:szCs w:val="24"/>
          <w:rtl w:val="false"/>
        </w:rPr>
        <w:t xml:space="preserve">Journal of Digital Learning in Teacher Education, 39</w:t>
      </w:r>
      <w:r>
        <w:rPr>
          <w:rFonts w:ascii="Times New Roman" w:cs="Times New Roman" w:hAnsi="Times New Roman"/>
          <w:b w:val="false"/>
          <w:bCs w:val="false"/>
          <w:i w:val="false"/>
          <w:iCs w:val="false"/>
          <w:sz w:val="24"/>
          <w:szCs w:val="24"/>
          <w:rtl w:val="false"/>
        </w:rPr>
        <w:t xml:space="preserve">(4), 235-250. https://doi.org/10.1080/21532974.2023.2247480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Ng, D. T. K., Leung, J. K. L., Chu, K. W. S., &amp; Qiao, M. S. (2021). AI literacy: Definition, teaching, evaluation and ethical issues. </w:t>
      </w:r>
      <w:r>
        <w:rPr>
          <w:rFonts w:ascii="Times New Roman" w:cs="Times New Roman" w:hAnsi="Times New Roman"/>
          <w:b w:val="false"/>
          <w:bCs w:val="false"/>
          <w:i/>
          <w:iCs/>
          <w:sz w:val="24"/>
          <w:szCs w:val="24"/>
          <w:rtl w:val="false"/>
        </w:rPr>
        <w:t xml:space="preserve">Proceedings of the Association for Information Science and Technology, 58</w:t>
      </w:r>
      <w:r>
        <w:rPr>
          <w:rFonts w:ascii="David" w:cs="David" w:hAnsi="David"/>
          <w:b w:val="false"/>
          <w:bCs w:val="false"/>
          <w:i w:val="false"/>
          <w:iCs w:val="false"/>
          <w:sz w:val="24"/>
          <w:szCs w:val="24"/>
          <w:rtl/>
        </w:rPr>
        <w:t xml:space="preserve">(1), 504-509.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OECD. (2019). </w:t>
      </w:r>
      <w:r>
        <w:rPr>
          <w:rFonts w:ascii="Times New Roman" w:cs="Times New Roman" w:hAnsi="Times New Roman"/>
          <w:b w:val="false"/>
          <w:bCs w:val="false"/>
          <w:i/>
          <w:iCs/>
          <w:sz w:val="24"/>
          <w:szCs w:val="24"/>
          <w:rtl w:val="false"/>
        </w:rPr>
        <w:t xml:space="preserve">OECD future of education and skills 2030: OECD learning compass 2030. A series of concept notes</w:t>
      </w:r>
      <w:r>
        <w:rPr>
          <w:rFonts w:ascii="Times New Roman" w:cs="Times New Roman" w:hAnsi="Times New Roman"/>
          <w:b w:val="false"/>
          <w:bCs w:val="false"/>
          <w:i w:val="false"/>
          <w:iCs w:val="false"/>
          <w:sz w:val="24"/>
          <w:szCs w:val="24"/>
          <w:rtl w:val="false"/>
        </w:rPr>
        <w:t xml:space="preserve">. OECD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Prensky, M. (2008). The role of technology in teaching and the classroom. </w:t>
      </w:r>
      <w:r>
        <w:rPr>
          <w:rFonts w:ascii="Times New Roman" w:cs="Times New Roman" w:hAnsi="Times New Roman"/>
          <w:b w:val="false"/>
          <w:bCs w:val="false"/>
          <w:i/>
          <w:iCs/>
          <w:sz w:val="24"/>
          <w:szCs w:val="24"/>
          <w:rtl w:val="false"/>
        </w:rPr>
        <w:t xml:space="preserve">Educational Technology, 48</w:t>
      </w:r>
      <w:r>
        <w:rPr>
          <w:rFonts w:ascii="David" w:cs="David" w:hAnsi="David"/>
          <w:b w:val="false"/>
          <w:bCs w:val="false"/>
          <w:i w:val="false"/>
          <w:iCs w:val="false"/>
          <w:sz w:val="24"/>
          <w:szCs w:val="24"/>
          <w:rtl/>
        </w:rPr>
        <w:t xml:space="preserve">(6), 1-3.</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Puentedura, R. R. (2006). </w:t>
      </w:r>
      <w:r>
        <w:rPr>
          <w:rFonts w:ascii="Times New Roman" w:cs="Times New Roman" w:hAnsi="Times New Roman"/>
          <w:b w:val="false"/>
          <w:bCs w:val="false"/>
          <w:i/>
          <w:iCs/>
          <w:sz w:val="24"/>
          <w:szCs w:val="24"/>
          <w:rtl w:val="false"/>
        </w:rPr>
        <w:t xml:space="preserve">Transformation, technology, and education</w:t>
      </w:r>
      <w:r>
        <w:rPr>
          <w:rFonts w:ascii="Times New Roman" w:cs="Times New Roman" w:hAnsi="Times New Roman"/>
          <w:b w:val="false"/>
          <w:bCs w:val="false"/>
          <w:i w:val="false"/>
          <w:iCs w:val="false"/>
          <w:sz w:val="24"/>
          <w:szCs w:val="24"/>
          <w:rtl w:val="false"/>
        </w:rPr>
        <w:t xml:space="preserve"> [Blog post]. Hippasus. http://hippasus.com/resources/tte/</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Wang, X., Li, L., Tan, S. C., Yang, L., &amp; Lei, J. (2023). Preparing for AI-enhanced education: Conceptualizing and empirically examining teachers' AI readiness. </w:t>
      </w:r>
      <w:r>
        <w:rPr>
          <w:rFonts w:ascii="Times New Roman" w:cs="Times New Roman" w:hAnsi="Times New Roman"/>
          <w:b w:val="false"/>
          <w:bCs w:val="false"/>
          <w:i/>
          <w:iCs/>
          <w:sz w:val="24"/>
          <w:szCs w:val="24"/>
          <w:rtl w:val="false"/>
        </w:rPr>
        <w:t xml:space="preserve">Computers in Human Behavior, 146</w:t>
      </w:r>
      <w:r>
        <w:rPr>
          <w:rFonts w:ascii="Times New Roman" w:cs="Times New Roman" w:hAnsi="Times New Roman"/>
          <w:b w:val="false"/>
          <w:bCs w:val="false"/>
          <w:i w:val="false"/>
          <w:iCs w:val="false"/>
          <w:sz w:val="24"/>
          <w:szCs w:val="24"/>
          <w:rtl w:val="false"/>
        </w:rPr>
        <w:t xml:space="preserve">, Article 107798.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2026-08-20T08:28:26.465Z</dcterms:created>
  <dcterms:modified xsi:type="dcterms:W3CDTF">2026-08-20T08:28:26.465Z</dcterms:modified>
</cp:coreProperties>
</file>

<file path=docProps/custom.xml><?xml version="1.0" encoding="utf-8"?>
<Properties xmlns="http://schemas.openxmlformats.org/officeDocument/2006/custom-properties" xmlns:vt="http://schemas.openxmlformats.org/officeDocument/2006/docPropsVTypes"/>
</file>