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noProof/>
        </w:rP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noProof/>
          <w:color w:val="000000"/>
          <w:sz w:val="26"/>
          <w:szCs w:val="26"/>
          <w:rtl w:val="1"/>
        </w:rPr>
        <w:t>החוג לחינוך לגיל הרך</w:t>
      </w:r>
    </w:p>
    <w:p>
      <w:pPr>
        <w:bidi w:val="1"/>
        <w:spacing w:line="360" w:lineRule="auto" w:before="0" w:after="600"/>
        <w:jc w:val="center"/>
      </w:pPr>
      <w:r>
        <w:rPr>
          <w:rFonts w:ascii="David" w:hAnsi="David" w:cs="David"/>
          <w:b/>
          <w:noProof/>
          <w:color w:val="000000"/>
          <w:sz w:val="36"/>
          <w:szCs w:val="36"/>
          <w:rtl w:val="1"/>
        </w:rPr>
        <w:t>עבודת סמינריון</w:t>
      </w:r>
    </w:p>
    <w:p>
      <w:pPr>
        <w:bidi w:val="1"/>
        <w:spacing w:line="360" w:lineRule="auto" w:before="0" w:after="280"/>
        <w:jc w:val="center"/>
      </w:pPr>
      <w:r>
        <w:rPr>
          <w:rFonts w:ascii="David" w:hAnsi="David" w:cs="David"/>
          <w:b/>
          <w:noProof/>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noProof/>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noProof/>
          <w:color w:val="000000"/>
          <w:sz w:val="24"/>
          <w:szCs w:val="24"/>
          <w:rtl w:val="1"/>
        </w:rPr>
        <w:t>מגישה: מיטל נאורי</w:t>
      </w:r>
    </w:p>
    <w:p>
      <w:pPr>
        <w:bidi w:val="1"/>
        <w:spacing w:line="360" w:lineRule="auto" w:before="0" w:after="120"/>
        <w:jc w:val="center"/>
      </w:pPr>
      <w:r>
        <w:rPr>
          <w:rFonts w:ascii="David" w:hAnsi="David" w:cs="David"/>
          <w:b w:val="0"/>
          <w:noProof/>
          <w:color w:val="000000"/>
          <w:sz w:val="24"/>
          <w:szCs w:val="24"/>
          <w:rtl w:val="1"/>
        </w:rPr>
        <w:t>ת"ז: 206661779</w:t>
      </w:r>
    </w:p>
    <w:p>
      <w:pPr>
        <w:bidi w:val="1"/>
        <w:spacing w:line="360" w:lineRule="auto" w:after="120"/>
        <w:jc w:val="center"/>
      </w:pPr>
      <w:r>
        <w:rPr>
          <w:rFonts w:ascii="David" w:hAnsi="David" w:cs="David"/>
          <w:noProof/>
          <w:color w:val="000000"/>
          <w:sz w:val="24"/>
          <w:szCs w:val="24"/>
          <w:rtl w:val="1"/>
        </w:rPr>
        <w:t>הקורס: סמינריון צדק בכיתה</w:t>
      </w:r>
    </w:p>
    <w:p>
      <w:pPr>
        <w:bidi w:val="1"/>
        <w:spacing w:line="360" w:lineRule="auto" w:before="0" w:after="120"/>
        <w:jc w:val="center"/>
      </w:pPr>
      <w:r>
        <w:rPr>
          <w:rFonts w:ascii="David" w:hAnsi="David" w:cs="David"/>
          <w:b w:val="0"/>
          <w:noProof/>
          <w:color w:val="000000"/>
          <w:sz w:val="24"/>
          <w:szCs w:val="24"/>
          <w:rtl w:val="1"/>
        </w:rPr>
        <w:t>בהנחיית: ד"ר ליאת ביברמן-שלו</w:t>
      </w:r>
    </w:p>
    <w:p>
      <w:pPr>
        <w:bidi w:val="1"/>
        <w:spacing w:line="360" w:lineRule="auto" w:before="0" w:after="120"/>
        <w:jc w:val="center"/>
      </w:pPr>
      <w:r>
        <w:rPr>
          <w:rFonts w:ascii="David" w:hAnsi="David" w:cs="David"/>
          <w:noProof/>
          <w:color w:val="000000"/>
          <w:sz w:val="24"/>
          <w:szCs w:val="24"/>
          <w:rtl w:val="1"/>
        </w:rPr>
        <w:t>תאריך הגשה: אב תשפ"ו, אוגוסט 2026</w:t>
      </w:r>
    </w:p>
    <w:p>
      <w:pPr>
        <w:jc w:val="both"/>
      </w:pPr>
      <w:r>
        <w:rPr>
          <w:noProof/>
          <w:color w:val="000000"/>
        </w:rPr>
        <w:br w:type="page"/>
      </w:r>
    </w:p>
    <w:p>
      <w:pPr>
        <w:bidi w:val="1"/>
        <w:spacing w:line="360" w:lineRule="auto" w:before="0" w:after="240"/>
        <w:jc w:val="center"/>
      </w:pPr>
      <w:r>
        <w:rPr>
          <w:rFonts w:ascii="David" w:hAnsi="David" w:cs="David"/>
          <w:b/>
          <w:noProof/>
          <w:color w:val="000000"/>
          <w:sz w:val="30"/>
          <w:szCs w:val="30"/>
          <w:rtl w:val="1"/>
        </w:rPr>
        <w:t>תוכן העניינים</w:t>
      </w:r>
    </w:p>
    <w:p>
      <w:pPr>
        <w:bidi w:val="1"/>
        <w:spacing w:line="360" w:lineRule="auto"/>
        <w:jc w:val="both"/>
      </w:pPr>
      <w:r>
        <w:rPr>
          <w:noProof/>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1. מבוא</w:t>
      </w:r>
    </w:p>
    <w:p>
      <w:pPr>
        <w:bidi w:val="1"/>
        <w:spacing w:line="360" w:lineRule="auto"/>
        <w:ind/>
        <w:jc w:val="both"/>
      </w:pPr>
      <w:r>
        <w:rPr>
          <w:rFonts w:ascii="David" w:hAnsi="David" w:cs="David"/>
          <w:b w:val="0"/>
          <w:noProof/>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noProof/>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noProof/>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noProof/>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noProof/>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noProof/>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noProof/>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noProof/>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noProof/>
          <w:color w:val="000000"/>
          <w:sz w:val="26"/>
          <w:szCs w:val="26"/>
          <w:rtl w:val="1"/>
          <w:rtl w:val="1"/>
        </w:rPr>
        <w:t>2.1 צדק וצדק חברתי בחינוך</w:t>
      </w:r>
    </w:p>
    <w:p>
      <w:pPr>
        <w:bidi w:val="1"/>
        <w:spacing w:line="360" w:lineRule="auto" w:before="0" w:after="120"/>
        <w:ind/>
        <w:jc w:val="both"/>
      </w:pPr>
      <w:r>
        <w:rPr>
          <w:rFonts w:ascii="David" w:hAnsi="David" w:cs="David"/>
          <w:b w:val="0"/>
          <w:noProof/>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noProof/>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noProof/>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noProof/>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noProof/>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noProof/>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noProof/>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noProof/>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noProof/>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noProof/>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noProof/>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noProof/>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noProof/>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noProof/>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noProof/>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noProof/>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noProof/>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noProof/>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noProof/>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noProof/>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noProof/>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noProof/>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noProof/>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noProof/>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noProof/>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noProof/>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noProof/>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noProof/>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noProof/>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noProof/>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noProof/>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noProof/>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noProof/>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noProof/>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noProof/>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noProof/>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noProof/>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noProof/>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noProof/>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noProof/>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noProof/>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noProof/>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noProof/>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noProof/>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noProof/>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noProof/>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noProof/>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3. שאלת המחקר</w:t>
      </w:r>
    </w:p>
    <w:p>
      <w:pPr>
        <w:bidi w:val="1"/>
        <w:spacing w:line="360" w:lineRule="auto" w:before="0" w:after="120"/>
        <w:jc w:val="both"/>
      </w:pPr>
      <w:r>
        <w:rPr>
          <w:rFonts w:ascii="David" w:hAnsi="David" w:cs="David"/>
          <w:b/>
          <w:noProof/>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noProof/>
          <w:color w:val="000000"/>
          <w:sz w:val="24"/>
          <w:szCs w:val="24"/>
          <w:rtl w:val="1"/>
        </w:rPr>
        <w:t>שאלות משנה:</w:t>
      </w:r>
    </w:p>
    <w:p>
      <w:pPr>
        <w:bidi w:val="1"/>
        <w:spacing w:line="360" w:lineRule="auto" w:before="0" w:after="120"/>
        <w:jc w:val="both"/>
      </w:pPr>
      <w:r>
        <w:rPr>
          <w:rFonts w:ascii="David" w:hAnsi="David" w:cs="David"/>
          <w:b w:val="0"/>
          <w:noProof/>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noProof/>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noProof/>
          <w:color w:val="000000"/>
          <w:sz w:val="24"/>
          <w:szCs w:val="24"/>
          <w:rtl w:val="1"/>
        </w:rPr>
        <w:t>• כיצד תופסות גננות את תפקידן כסוכנות של צדק, שוויון וצמצום פערים חברתיים-כלכליים בגן?</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noProof/>
          <w:color w:val="000000"/>
          <w:sz w:val="26"/>
          <w:szCs w:val="26"/>
          <w:rtl w:val="1"/>
          <w:rtl w:val="1"/>
        </w:rPr>
        <w:t>4.1 שיטת המחקר</w:t>
      </w:r>
    </w:p>
    <w:p>
      <w:pPr>
        <w:bidi w:val="1"/>
        <w:spacing w:line="360" w:lineRule="auto" w:before="0" w:after="120"/>
        <w:ind/>
        <w:jc w:val="both"/>
      </w:pPr>
      <w:r>
        <w:rPr>
          <w:rFonts w:ascii="David" w:hAnsi="David" w:cs="David"/>
          <w:b w:val="0"/>
          <w:noProof/>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noProof/>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noProof/>
          <w:color w:val="000000"/>
          <w:sz w:val="26"/>
          <w:szCs w:val="26"/>
          <w:rtl w:val="1"/>
          <w:rtl w:val="1"/>
        </w:rPr>
        <w:t>4.2 שדה המחקר</w:t>
      </w:r>
    </w:p>
    <w:p>
      <w:pPr>
        <w:bidi w:val="1"/>
        <w:spacing w:line="360" w:lineRule="auto" w:before="0" w:after="120"/>
        <w:ind/>
        <w:jc w:val="both"/>
      </w:pPr>
      <w:r>
        <w:rPr>
          <w:rFonts w:ascii="David" w:hAnsi="David" w:cs="David"/>
          <w:b w:val="0"/>
          <w:noProof/>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noProof/>
          <w:color w:val="000000"/>
          <w:sz w:val="26"/>
          <w:szCs w:val="26"/>
          <w:rtl w:val="1"/>
          <w:rtl w:val="1"/>
        </w:rPr>
        <w:t>4.3 אוכלוסיית המחקר</w:t>
      </w:r>
    </w:p>
    <w:p>
      <w:pPr>
        <w:bidi w:val="1"/>
        <w:spacing w:line="360" w:lineRule="auto" w:before="0" w:after="120"/>
        <w:ind/>
        <w:jc w:val="both"/>
      </w:pPr>
      <w:r>
        <w:rPr>
          <w:rFonts w:ascii="David" w:hAnsi="David" w:cs="David"/>
          <w:b w:val="0"/>
          <w:noProof/>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noProof/>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סוג הגן / 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מגזר</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תפקידים נוספים</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ותק</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שם בדוי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רכזת הכלה בגן</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16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43</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שירה כהן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שכונה ותיקה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חונכת גננות מתחילות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28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58</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רבקה לוי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(גננת צעירה)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 שנים</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יעל אברהם</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יישוב מעורב</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מדריכה במתי"א</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22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תמר פרידמן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מנחה בתכנית רגשית-חברתית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41</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נעמה בן-דוד</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בשכונה מוחלשת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(בחירה להישאר בשטח)</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52</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אסתר מזרחי</w:t>
            </w:r>
          </w:p>
        </w:tc>
      </w:tr>
    </w:tbl>
    <w:p>
      <w:pPr>
        <w:bidi w:val="1"/>
        <w:pStyle w:val="Heading2"/>
        <w:bidi w:val="1"/>
        <w:spacing w:line="360" w:lineRule="auto" w:before="280" w:after="160"/>
        <w:jc w:val="both"/>
      </w:pPr>
      <w:r>
        <w:rPr>
          <w:rFonts w:ascii="David" w:hAnsi="David" w:cs="David"/>
          <w:b/>
          <w:noProof/>
          <w:color w:val="000000"/>
          <w:sz w:val="26"/>
          <w:szCs w:val="26"/>
          <w:rtl w:val="1"/>
          <w:rtl w:val="1"/>
        </w:rPr>
        <w:t>4.4 המדגם</w:t>
      </w:r>
    </w:p>
    <w:p>
      <w:pPr>
        <w:bidi w:val="1"/>
        <w:spacing w:line="360" w:lineRule="auto" w:before="0" w:after="120"/>
        <w:ind/>
        <w:jc w:val="both"/>
      </w:pPr>
      <w:r>
        <w:rPr>
          <w:rFonts w:ascii="David" w:hAnsi="David" w:cs="David"/>
          <w:b w:val="0"/>
          <w:noProof/>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noProof/>
          <w:color w:val="000000"/>
          <w:sz w:val="26"/>
          <w:szCs w:val="26"/>
          <w:rtl w:val="1"/>
          <w:rtl w:val="1"/>
        </w:rPr>
        <w:t>4.5 כלי המחקר</w:t>
      </w:r>
    </w:p>
    <w:p>
      <w:pPr>
        <w:bidi w:val="1"/>
        <w:spacing w:line="360" w:lineRule="auto" w:before="0" w:after="120"/>
        <w:ind/>
        <w:jc w:val="both"/>
      </w:pPr>
      <w:r>
        <w:rPr>
          <w:rFonts w:ascii="David" w:hAnsi="David" w:cs="David"/>
          <w:b w:val="0"/>
          <w:noProof/>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noProof/>
          <w:color w:val="000000"/>
          <w:sz w:val="26"/>
          <w:szCs w:val="26"/>
          <w:rtl w:val="1"/>
          <w:rtl w:val="1"/>
        </w:rPr>
        <w:t>4.6 הליך המחקר</w:t>
      </w:r>
    </w:p>
    <w:p>
      <w:pPr>
        <w:bidi w:val="1"/>
        <w:spacing w:line="360" w:lineRule="auto" w:before="0" w:after="120"/>
        <w:ind/>
        <w:jc w:val="both"/>
      </w:pPr>
      <w:r>
        <w:rPr>
          <w:rFonts w:ascii="David" w:hAnsi="David" w:cs="David"/>
          <w:b w:val="0"/>
          <w:noProof/>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r>
        <w:rPr>
          <w:rFonts w:ascii="David" w:hAnsi="David" w:cs="David"/>
          <w:noProof/>
          <w:color w:val="000000"/>
          <w:sz w:val="24"/>
          <w:szCs w:val="24"/>
          <w:rtl w:val="1"/>
        </w:rPr>
        <w:t xml:space="preserve"> הראיונות נערכו בחודשים פברואר עד מרס 2026, בהתאם לזמינות המשתתפות.</w:t>
      </w:r>
    </w:p>
    <w:p>
      <w:pPr>
        <w:bidi w:val="1"/>
        <w:pStyle w:val="Heading2"/>
        <w:bidi w:val="1"/>
        <w:spacing w:line="360" w:lineRule="auto" w:before="280" w:after="160"/>
        <w:jc w:val="both"/>
      </w:pPr>
      <w:r>
        <w:rPr>
          <w:rFonts w:ascii="David" w:hAnsi="David" w:cs="David"/>
          <w:b/>
          <w:noProof/>
          <w:color w:val="000000"/>
          <w:sz w:val="26"/>
          <w:szCs w:val="26"/>
          <w:rtl w:val="1"/>
          <w:rtl w:val="1"/>
        </w:rPr>
        <w:t>4.7 שיטת ניתוח הנתונים</w:t>
      </w:r>
    </w:p>
    <w:p>
      <w:pPr>
        <w:bidi w:val="1"/>
        <w:spacing w:line="360" w:lineRule="auto" w:before="0" w:after="120"/>
        <w:ind/>
        <w:jc w:val="both"/>
      </w:pPr>
      <w:r>
        <w:rPr>
          <w:rFonts w:ascii="David" w:hAnsi="David" w:cs="David"/>
          <w:b w:val="0"/>
          <w:noProof/>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noProof/>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r>
        <w:rPr>
          <w:rFonts w:ascii="David" w:hAnsi="David" w:cs="David"/>
          <w:noProof/>
          <w:color w:val="000000"/>
          <w:sz w:val="24"/>
          <w:szCs w:val="24"/>
          <w:rtl w:val="1"/>
        </w:rPr>
        <w:t xml:space="preserve"> על בסיס מיפוי זה נבנה עץ הקטגוריות, המציג את קטגוריית העל, הקטגוריות המרכזיות וקטגוריות המשנה, והוא מוצג בתרשים 1 בפתח פרק הממצאים.</w:t>
      </w:r>
    </w:p>
    <w:p>
      <w:pPr>
        <w:bidi w:val="1"/>
        <w:pStyle w:val="Heading2"/>
        <w:bidi w:val="1"/>
        <w:spacing w:line="360" w:lineRule="auto" w:before="280" w:after="160"/>
        <w:jc w:val="both"/>
      </w:pPr>
      <w:r>
        <w:rPr>
          <w:rFonts w:ascii="David" w:hAnsi="David" w:cs="David"/>
          <w:b/>
          <w:noProof/>
          <w:color w:val="000000"/>
          <w:sz w:val="26"/>
          <w:szCs w:val="26"/>
          <w:rtl w:val="1"/>
          <w:rtl w:val="1"/>
        </w:rPr>
        <w:t>4.8 אמינות</w:t>
      </w:r>
    </w:p>
    <w:p>
      <w:pPr>
        <w:bidi w:val="1"/>
        <w:spacing w:line="360" w:lineRule="auto" w:before="0" w:after="120"/>
        <w:ind/>
        <w:jc w:val="both"/>
      </w:pPr>
      <w:r>
        <w:rPr>
          <w:rFonts w:ascii="David" w:hAnsi="David" w:cs="David"/>
          <w:b w:val="0"/>
          <w:noProof/>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noProof/>
          <w:color w:val="000000"/>
          <w:sz w:val="26"/>
          <w:szCs w:val="26"/>
          <w:rtl w:val="1"/>
          <w:rtl w:val="1"/>
        </w:rPr>
        <w:t>4.9 אתיקה</w:t>
      </w:r>
    </w:p>
    <w:p>
      <w:pPr>
        <w:bidi w:val="1"/>
        <w:spacing w:line="360" w:lineRule="auto" w:before="0" w:after="120"/>
        <w:ind/>
        <w:jc w:val="both"/>
      </w:pPr>
      <w:r>
        <w:rPr>
          <w:rFonts w:ascii="David" w:hAnsi="David" w:cs="David"/>
          <w:b w:val="0"/>
          <w:noProof/>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noProof/>
          <w:color w:val="000000"/>
          <w:sz w:val="24"/>
          <w:szCs w:val="24"/>
          <w:rtl w:val="1"/>
        </w:rPr>
        <w:t>4.10 מגבלות המחקר</w:t>
      </w:r>
    </w:p>
    <w:p>
      <w:pPr>
        <w:bidi w:val="1"/>
        <w:spacing w:line="360" w:lineRule="auto"/>
        <w:ind/>
        <w:jc w:val="both"/>
      </w:pPr>
      <w:r>
        <w:rPr>
          <w:rFonts w:ascii="David" w:hAnsi="David" w:cs="David"/>
          <w:b w:val="0"/>
          <w:noProof/>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5. פרק הממצאים</w:t>
      </w:r>
    </w:p>
    <w:p>
      <w:pPr>
        <w:bidi w:val="1"/>
        <w:spacing w:line="360" w:lineRule="auto" w:after="120"/>
        <w:jc w:val="both"/>
      </w:pPr>
      <w:r>
        <w:rPr>
          <w:rFonts w:ascii="David" w:hAnsi="David" w:cs="David"/>
          <w:b w:val="0"/>
          <w:i w:val="0"/>
          <w:noProof/>
          <w:color w:val="000000"/>
          <w:sz w:val="24"/>
          <w:szCs w:val="24"/>
          <w:rtl w:val="1"/>
        </w:rPr>
        <w:t>פרק זה מציג את ממצאי המחקר, כפי שעלו מניתוח שישה ראיונות עומק חצי-מובנים עם גננות. הניתוח, שנערך על-פי עקרונות התיאוריה המעוגנת בשדה (גבתון, 2001), חשף קטגוריית-על אחת, התנהלות צודקת והוגנת בגן, ושש קטגוריות מרכזיות הנגזרות ממנה: תפיסת המונח "צדק בגן"; חלוקת משאב תשומת הלב הרגשית; ההבחנה בין חלוקה שווה לחלוקה הוגנת; חלוקת המשאבים הפיזיים והמרחב הקבוצתי; צדק חברתי-כלכלי ומניעת בושה; והגננת כסוכנת צדק וכמחנכת ערכים. מבנה הקטגוריות מוצג בתרשים 1 שלהלן.</w:t>
      </w:r>
    </w:p>
    <w:p>
      <w:pPr>
        <w:bidi w:val="1"/>
        <w:spacing w:line="360" w:lineRule="auto" w:after="120"/>
        <w:jc w:val="both"/>
      </w:pPr>
      <w:r>
        <w:rPr>
          <w:rFonts w:ascii="David" w:hAnsi="David" w:cs="David"/>
          <w:b w:val="0"/>
          <w:i w:val="0"/>
          <w:noProof/>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noProof/>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noProof/>
                <w:color w:val="000000"/>
                <w:sz w:val="20"/>
                <w:szCs w:val="20"/>
                <w:rtl w:val="1"/>
              </w:rPr>
            </w:r>
            <w:r>
              <w:rPr>
                <w:rFonts w:ascii="David" w:hAnsi="David" w:cs="David"/>
                <w:b/>
                <w:noProof/>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תפיסת המונח "צדק בגן"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חלוקת תשומת הלב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שווה מול הוגן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משאבים ומרחב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חברתי-כלכלי</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ביחסי גננת-הורים</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הגננת כסוכנת צדק</w:t>
            </w:r>
          </w:p>
        </w:tc>
      </w:tr>
      <w:tr>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ראיית הילד הבודד</w:t>
            </w:r>
            <w:r>
              <w:rPr>
                <w:rFonts w:ascii="David" w:hAnsi="David" w:cs="David"/>
                <w:noProof/>
                <w:color w:val="000000"/>
                <w:sz w:val="16"/>
                <w:szCs w:val="16"/>
                <w:rtl w:val="1"/>
              </w:rPr>
              <w:br/>
            </w:r>
            <w:r>
              <w:rPr>
                <w:rFonts w:ascii="David" w:hAnsi="David" w:cs="David"/>
                <w:b w:val="0"/>
                <w:noProof/>
                <w:color w:val="000000"/>
                <w:sz w:val="16"/>
                <w:szCs w:val="16"/>
                <w:rtl w:val="1"/>
              </w:rPr>
              <w:t>שוויון הזדמנויות</w:t>
            </w:r>
            <w:r>
              <w:rPr>
                <w:rFonts w:ascii="David" w:hAnsi="David" w:cs="David"/>
                <w:noProof/>
                <w:color w:val="000000"/>
                <w:sz w:val="16"/>
                <w:szCs w:val="16"/>
                <w:rtl w:val="1"/>
              </w:rPr>
              <w:br/>
            </w:r>
            <w:r>
              <w:rPr>
                <w:rFonts w:ascii="David" w:hAnsi="David" w:cs="David"/>
                <w:b w:val="0"/>
                <w:noProof/>
                <w:color w:val="000000"/>
                <w:sz w:val="16"/>
                <w:szCs w:val="16"/>
                <w:rtl w:val="1"/>
              </w:rPr>
              <w:t>הקשבה וניהול מתחים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עיקרון הצורך</w:t>
            </w:r>
            <w:r>
              <w:rPr>
                <w:rFonts w:ascii="David" w:hAnsi="David" w:cs="David"/>
                <w:noProof/>
                <w:color w:val="000000"/>
                <w:sz w:val="16"/>
                <w:szCs w:val="16"/>
                <w:rtl w:val="1"/>
              </w:rPr>
              <w:br/>
            </w:r>
            <w:r>
              <w:rPr>
                <w:rFonts w:ascii="David" w:hAnsi="David" w:cs="David"/>
                <w:b w:val="0"/>
                <w:noProof/>
                <w:color w:val="000000"/>
                <w:sz w:val="16"/>
                <w:szCs w:val="16"/>
                <w:rtl w:val="1"/>
              </w:rPr>
              <w:t>הילד השקט</w:t>
            </w:r>
            <w:r>
              <w:rPr>
                <w:rFonts w:ascii="David" w:hAnsi="David" w:cs="David"/>
                <w:noProof/>
                <w:color w:val="000000"/>
                <w:sz w:val="16"/>
                <w:szCs w:val="16"/>
                <w:rtl w:val="1"/>
              </w:rPr>
              <w:br/>
            </w:r>
            <w:r>
              <w:rPr>
                <w:rFonts w:ascii="David" w:hAnsi="David" w:cs="David"/>
                <w:b w:val="0"/>
                <w:noProof/>
                <w:color w:val="000000"/>
                <w:sz w:val="16"/>
                <w:szCs w:val="16"/>
                <w:rtl w:val="1"/>
              </w:rPr>
              <w:t>שיטתיות ומודעות</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ההבחנה העקרונית</w:t>
            </w:r>
            <w:r>
              <w:rPr>
                <w:rFonts w:ascii="David" w:hAnsi="David" w:cs="David"/>
                <w:noProof/>
                <w:color w:val="000000"/>
                <w:sz w:val="16"/>
                <w:szCs w:val="16"/>
                <w:rtl w:val="1"/>
              </w:rPr>
              <w:br/>
            </w:r>
            <w:r>
              <w:rPr>
                <w:rFonts w:ascii="David" w:hAnsi="David" w:cs="David"/>
                <w:b w:val="0"/>
                <w:noProof/>
                <w:color w:val="000000"/>
                <w:sz w:val="16"/>
                <w:szCs w:val="16"/>
                <w:rtl w:val="1"/>
              </w:rPr>
              <w:t>הנחלה לילדים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שקיפות ותור</w:t>
            </w:r>
            <w:r>
              <w:rPr>
                <w:rFonts w:ascii="David" w:hAnsi="David" w:cs="David"/>
                <w:noProof/>
                <w:color w:val="000000"/>
                <w:sz w:val="16"/>
                <w:szCs w:val="16"/>
                <w:rtl w:val="1"/>
              </w:rPr>
              <w:br/>
            </w:r>
            <w:r>
              <w:rPr>
                <w:rFonts w:ascii="David" w:hAnsi="David" w:cs="David"/>
                <w:b w:val="0"/>
                <w:noProof/>
                <w:color w:val="000000"/>
                <w:sz w:val="16"/>
                <w:szCs w:val="16"/>
                <w:rtl w:val="1"/>
              </w:rPr>
              <w:t>הכלל הגלוי</w:t>
            </w:r>
            <w:r>
              <w:rPr>
                <w:rFonts w:ascii="David" w:hAnsi="David" w:cs="David"/>
                <w:noProof/>
                <w:color w:val="000000"/>
                <w:sz w:val="16"/>
                <w:szCs w:val="16"/>
                <w:rtl w:val="1"/>
              </w:rPr>
              <w:br/>
            </w:r>
            <w:r>
              <w:rPr>
                <w:rFonts w:ascii="David" w:hAnsi="David" w:cs="David"/>
                <w:b w:val="0"/>
                <w:noProof/>
                <w:color w:val="000000"/>
                <w:sz w:val="16"/>
                <w:szCs w:val="16"/>
                <w:rtl w:val="1"/>
              </w:rPr>
              <w:t>איזון והדרה</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מניעת בושה</w:t>
            </w:r>
            <w:r>
              <w:rPr>
                <w:rFonts w:ascii="David" w:hAnsi="David" w:cs="David"/>
                <w:noProof/>
                <w:color w:val="000000"/>
                <w:sz w:val="16"/>
                <w:szCs w:val="16"/>
                <w:rtl w:val="1"/>
              </w:rPr>
              <w:br/>
            </w:r>
            <w:r>
              <w:rPr>
                <w:rFonts w:ascii="David" w:hAnsi="David" w:cs="David"/>
                <w:b w:val="0"/>
                <w:noProof/>
                <w:color w:val="000000"/>
                <w:sz w:val="16"/>
                <w:szCs w:val="16"/>
                <w:rtl w:val="1"/>
              </w:rPr>
              <w:t>הגן כמרחב מתקן</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דרישות ליחס מועדף</w:t>
            </w:r>
            <w:r>
              <w:rPr>
                <w:rFonts w:ascii="David" w:hAnsi="David" w:cs="David"/>
                <w:noProof/>
                <w:color w:val="000000"/>
                <w:sz w:val="16"/>
                <w:szCs w:val="16"/>
                <w:rtl w:val="1"/>
              </w:rPr>
              <w:br/>
            </w:r>
            <w:r>
              <w:rPr>
                <w:rFonts w:ascii="David" w:hAnsi="David" w:cs="David"/>
                <w:b w:val="0"/>
                <w:noProof/>
                <w:color w:val="000000"/>
                <w:sz w:val="16"/>
                <w:szCs w:val="16"/>
                <w:rtl w:val="1"/>
              </w:rPr>
              <w:t>ייצוג הילד החלש</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דוגמה אישית</w:t>
            </w:r>
            <w:r>
              <w:rPr>
                <w:rFonts w:ascii="David" w:hAnsi="David" w:cs="David"/>
                <w:noProof/>
                <w:color w:val="000000"/>
                <w:sz w:val="16"/>
                <w:szCs w:val="16"/>
                <w:rtl w:val="1"/>
              </w:rPr>
              <w:br/>
            </w:r>
            <w:r>
              <w:rPr>
                <w:rFonts w:ascii="David" w:hAnsi="David" w:cs="David"/>
                <w:b w:val="0"/>
                <w:noProof/>
                <w:color w:val="000000"/>
                <w:sz w:val="16"/>
                <w:szCs w:val="16"/>
                <w:rtl w:val="1"/>
              </w:rPr>
              <w:t>שליחות ושונות</w:t>
            </w:r>
          </w:p>
        </w:tc>
      </w:tr>
    </w:tbl>
    <w:p>
      <w:pPr>
        <w:bidi w:val="1"/>
        <w:spacing w:line="360" w:lineRule="auto" w:after="40"/>
        <w:jc w:val="both"/>
      </w:pPr>
      <w:r>
        <w:rPr>
          <w:rFonts w:ascii="David" w:hAnsi="David" w:cs="David"/>
          <w:b w:val="0"/>
          <w:i w:val="0"/>
          <w:noProof/>
          <w:color w:val="000000"/>
          <w:sz w:val="12"/>
          <w:szCs w:val="12"/>
          <w:rtl w:val="1"/>
        </w:rPr>
      </w:r>
    </w:p>
    <w:p>
      <w:pPr>
        <w:bidi w:val="1"/>
        <w:pStyle w:val="Heading2"/>
        <w:bidi w:val="1"/>
        <w:spacing w:line="360" w:lineRule="auto" w:after="120"/>
        <w:jc w:val="right"/>
      </w:pPr>
      <w:r>
        <w:rPr>
          <w:rFonts w:ascii="David" w:hAnsi="David" w:cs="David"/>
          <w:b/>
          <w:i w:val="0"/>
          <w:noProof/>
          <w:color w:val="000000"/>
          <w:sz w:val="24"/>
          <w:szCs w:val="24"/>
          <w:rtl w:val="1"/>
        </w:rPr>
        <w:t>5.1 תפיסת המונח "צדק בגן"</w:t>
      </w:r>
    </w:p>
    <w:p>
      <w:pPr>
        <w:bidi w:val="1"/>
        <w:spacing w:line="360" w:lineRule="auto" w:after="120"/>
        <w:jc w:val="both"/>
      </w:pPr>
      <w:r>
        <w:rPr>
          <w:rFonts w:ascii="David" w:hAnsi="David" w:cs="David"/>
          <w:b w:val="0"/>
          <w:i w:val="0"/>
          <w:noProof/>
          <w:color w:val="000000"/>
          <w:sz w:val="24"/>
          <w:szCs w:val="24"/>
          <w:rtl w:val="1"/>
        </w:rPr>
        <w:t>בפתח כל ראיון נתבקשו המרואיינות לתאר מה עולה בדעתן כשהן שומעות את המונח "צדק בגן הילדים". כל שש המרואיינות התייחסו למונח כאל סוגיה חיה ויומיומית, ולא כאל מושג מופשט, אולם הדגשים שנתנו לו היו שונים, ומהם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מדבריה עולה כי חוש הצדק של הילדים עצמם הוא נקודת הייחוס הראשונה של הגננת: הילדים מזהים אי-הוגנות בשנייה, והגננת נדרשת להתייחס לכך ברצינות. ממצא זה מתיישב עם הספרות ההתפתחותית, שלפיה רגישות לחלוקה הוגנת מופיעה כבר בגיל הרך (Grütter et al., 2024).</w:t>
      </w:r>
    </w:p>
    <w:p>
      <w:pPr>
        <w:bidi w:val="1"/>
        <w:pStyle w:val="Heading3"/>
        <w:bidi w:val="1"/>
        <w:spacing w:line="360" w:lineRule="auto" w:after="120"/>
        <w:jc w:val="right"/>
      </w:pPr>
      <w:r>
        <w:rPr>
          <w:rFonts w:ascii="David" w:hAnsi="David" w:cs="David"/>
          <w:b/>
          <w:i w:val="0"/>
          <w:noProof/>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noProof/>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noProof/>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noProof/>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שתי המרואיינות מציגות אפוא את הצדק כעבודה פרשנית מתמשכת, שבה הגננת נדרשת להכיר כל ילד לעומק כתנאי לחלוקה צודקת. תפיסה זו מיישמת הלכה למעשה את עיקרון הצורך שבבסיס הגישה הרב-ממדית לצדק חלוקתי (Connell, 1993; סבג וביברמן-שלו, 2014), והיא עולה בקנה אחד עם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noProof/>
          <w:color w:val="000000"/>
          <w:sz w:val="24"/>
          <w:szCs w:val="24"/>
          <w:rtl w:val="1"/>
        </w:rPr>
        <w:t>5.1.2 צדק כשוויון הזדמנויות וכצמצום פערים</w:t>
      </w:r>
    </w:p>
    <w:p>
      <w:pPr>
        <w:bidi w:val="1"/>
        <w:spacing w:line="360" w:lineRule="auto" w:after="120"/>
        <w:jc w:val="both"/>
      </w:pPr>
      <w:r>
        <w:rPr>
          <w:rFonts w:ascii="David" w:hAnsi="David" w:cs="David"/>
          <w:b w:val="0"/>
          <w:i w:val="0"/>
          <w:noProof/>
          <w:color w:val="000000"/>
          <w:sz w:val="24"/>
          <w:szCs w:val="24"/>
          <w:rtl w:val="1"/>
        </w:rPr>
        <w:t>אצל שתי מרואיינות, ובעיקר אצל אלה העובדות עם אוכלוסיות מוחלשות, בלט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noProof/>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בדבריה מתבטאת התפיסה המהותית של שוויון ההזדמנויות: לא הסתפקות בזכויות שוות על הנייר, אלא פעולה אקטיבית לצמצום הפער שעמו מגיעים ילדים מרקע מוחלש (דהאן, 2010; אדלר ובלס, 2009). ראוי לשים לב כי אצל מרואיינת זו הצדק אינו מתמצה ביחסים שבתוך הגן, אלא מופנה כלפי אי-השוויון החברתי שמחוץ לו, והגן נתפס ככלי לתיקונו.</w:t>
      </w:r>
      <w:r>
        <w:rPr>
          <w:rFonts w:ascii="David" w:hAnsi="David" w:cs="David"/>
          <w:noProof/>
          <w:color w:val="000000"/>
          <w:sz w:val="24"/>
          <w:szCs w:val="24"/>
          <w:rtl w:val="1"/>
        </w:rPr>
        <w:t xml:space="preserve"> תפיסת השליחות העולה מדבריה מהדהדת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noProof/>
          <w:color w:val="000000"/>
          <w:sz w:val="24"/>
          <w:szCs w:val="24"/>
          <w:rtl w:val="1"/>
        </w:rPr>
        <w:t>5.1.3 צדק כהקשבה וכניהול מתחים בין צרכים</w:t>
      </w:r>
    </w:p>
    <w:p>
      <w:pPr>
        <w:bidi w:val="1"/>
        <w:spacing w:line="360" w:lineRule="auto" w:after="120"/>
        <w:jc w:val="both"/>
      </w:pPr>
      <w:r>
        <w:rPr>
          <w:rFonts w:ascii="David" w:hAnsi="David" w:cs="David"/>
          <w:b w:val="0"/>
          <w:i w:val="0"/>
          <w:noProof/>
          <w:color w:val="000000"/>
          <w:sz w:val="24"/>
          <w:szCs w:val="24"/>
          <w:rtl w:val="1"/>
        </w:rPr>
        <w:t>מרואיינת אחת,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noProof/>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b w:val="0"/>
          <w:i w:val="0"/>
          <w:noProof/>
          <w:color w:val="000000"/>
          <w:sz w:val="24"/>
          <w:szCs w:val="24"/>
          <w:rtl w:val="1"/>
        </w:rPr>
        <w:t>תפיסה זו מעתיקה את מרכז הכובד מן התוצאה אל ההליך: השאלה אינה רק מה קיבל כל ילד, אלא האם הוא חש שרואים ושומעים אותו. בכך מתקרבת המרואיינת למושגי הצדק האינטראקציוני והפרוצדורלי, המדגישים את איכות היחס, הכבוד וההליך ההוגן כמרכיבים מרכזיים בחוויית הצדק של הלומד (Horan et al., 2010; Jiang et al., 2018). אף שקטגוריית משנה זו נשענה על קול אחד בלבד, היא הובאה כאן במלואה, שכן היא מוסיפה ממד שאינו קיים אצל יתר המרואיינות.</w:t>
      </w:r>
      <w:r>
        <w:rPr>
          <w:rFonts w:ascii="David" w:hAnsi="David" w:cs="David"/>
          <w:noProof/>
          <w:color w:val="000000"/>
          <w:sz w:val="24"/>
          <w:szCs w:val="24"/>
          <w:rtl w:val="1"/>
        </w:rPr>
        <w:t xml:space="preserve">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noProof/>
          <w:color w:val="000000"/>
          <w:sz w:val="24"/>
          <w:szCs w:val="24"/>
          <w:rtl w:val="1"/>
        </w:rPr>
        <w:t>5.2 חלוקת משאב תשומת הלב הרגשית</w:t>
      </w:r>
    </w:p>
    <w:p>
      <w:pPr>
        <w:bidi w:val="1"/>
        <w:spacing w:line="360" w:lineRule="auto" w:after="120"/>
        <w:jc w:val="both"/>
      </w:pPr>
      <w:r>
        <w:rPr>
          <w:rFonts w:ascii="David" w:hAnsi="David" w:cs="David"/>
          <w:b w:val="0"/>
          <w:i w:val="0"/>
          <w:noProof/>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noProof/>
          <w:color w:val="000000"/>
          <w:sz w:val="24"/>
          <w:szCs w:val="24"/>
          <w:rtl w:val="1"/>
        </w:rPr>
        <w:t>5.2.1 חלוקה לפי עיקרון הצורך</w:t>
      </w:r>
    </w:p>
    <w:p>
      <w:pPr>
        <w:bidi w:val="1"/>
        <w:spacing w:line="360" w:lineRule="auto" w:after="120"/>
        <w:jc w:val="both"/>
      </w:pPr>
      <w:r>
        <w:rPr>
          <w:rFonts w:ascii="David" w:hAnsi="David" w:cs="David"/>
          <w:b w:val="0"/>
          <w:i w:val="0"/>
          <w:noProof/>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noProof/>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הפתרון שהיא מציעה, מתן התוספת בזמנים שאינם באים על חשבון הקבוצה, הוא פתרון מעשי למתח המובנה שבין אינטרס הפרט לטובת הכלל, מתח המתואר בספרות כחלק בלתי נפרד מן העשייה החינוכית בתנאי משאבים מוגבלים (סבג וביברמן-שלו, 2014).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noProof/>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b w:val="0"/>
          <w:i w:val="0"/>
          <w:noProof/>
          <w:color w:val="000000"/>
          <w:sz w:val="24"/>
          <w:szCs w:val="24"/>
          <w:rtl w:val="1"/>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 שילוב זה של עקרון השוויון ועקרון הצורך באותה פרקטיקה ממחיש את טענת דויטש (Deutsch, 1985) שלפיה עקרונות הצדק אינם מוציאים זה את זה אלא פועלים זה לצד זה בהתאם להקשר.</w:t>
      </w:r>
    </w:p>
    <w:p>
      <w:pPr>
        <w:bidi w:val="1"/>
        <w:pStyle w:val="Heading3"/>
        <w:bidi w:val="1"/>
        <w:spacing w:line="360" w:lineRule="auto" w:after="120"/>
        <w:jc w:val="right"/>
      </w:pPr>
      <w:r>
        <w:rPr>
          <w:rFonts w:ascii="David" w:hAnsi="David" w:cs="David"/>
          <w:b/>
          <w:i w:val="0"/>
          <w:noProof/>
          <w:color w:val="000000"/>
          <w:sz w:val="24"/>
          <w:szCs w:val="24"/>
          <w:rtl w:val="1"/>
        </w:rPr>
        <w:t>5.2.2 הילד השקט: מאבק בעוול הסמוי</w:t>
      </w:r>
    </w:p>
    <w:p>
      <w:pPr>
        <w:bidi w:val="1"/>
        <w:spacing w:line="360" w:lineRule="auto" w:after="120"/>
        <w:jc w:val="both"/>
      </w:pPr>
      <w:r>
        <w:rPr>
          <w:rFonts w:ascii="David" w:hAnsi="David" w:cs="David"/>
          <w:b w:val="0"/>
          <w:i w:val="0"/>
          <w:noProof/>
          <w:color w:val="000000"/>
          <w:sz w:val="24"/>
          <w:szCs w:val="24"/>
          <w:rtl w:val="1"/>
        </w:rPr>
        <w:t>ממצא בולט, שחזר אצל חמש מרואיינות, הוא המודעות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noProof/>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noProof/>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שתי המרואיינות מתארות אפוא את הצדק בחלוקת הקשב כהישג שיש להיאבק עליו נגד נטייה טבעית, ולא כמצב נתון. ממצא זה מוסיף נדבך לספרות על הצדק האינטראקציוני: תחושת הנראות של הילד היא משאב שיש לחלקו באופן אקטיבי, שאם לא כן הוא מתחלק מעצמו באופן שאינו הוגן (Jiang et al., 2018).</w:t>
      </w:r>
    </w:p>
    <w:p>
      <w:pPr>
        <w:bidi w:val="1"/>
        <w:pStyle w:val="Heading3"/>
        <w:bidi w:val="1"/>
        <w:spacing w:line="360" w:lineRule="auto" w:after="120"/>
        <w:jc w:val="right"/>
      </w:pPr>
      <w:r>
        <w:rPr>
          <w:rFonts w:ascii="David" w:hAnsi="David" w:cs="David"/>
          <w:b/>
          <w:i w:val="0"/>
          <w:noProof/>
          <w:color w:val="000000"/>
          <w:sz w:val="24"/>
          <w:szCs w:val="24"/>
          <w:rtl w:val="1"/>
        </w:rPr>
        <w:t>5.2.3 שיטתיות ומודעות בחלוקת הקשב</w:t>
      </w:r>
    </w:p>
    <w:p>
      <w:pPr>
        <w:bidi w:val="1"/>
        <w:spacing w:line="360" w:lineRule="auto" w:after="120"/>
        <w:jc w:val="both"/>
      </w:pPr>
      <w:r>
        <w:rPr>
          <w:rFonts w:ascii="David" w:hAnsi="David" w:cs="David"/>
          <w:b w:val="0"/>
          <w:i w:val="0"/>
          <w:noProof/>
          <w:color w:val="000000"/>
          <w:sz w:val="24"/>
          <w:szCs w:val="24"/>
          <w:rtl w:val="1"/>
        </w:rPr>
        <w:t>כמענה לסכנה זו תיארו ארבע מרואיינות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noProof/>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 ממצא זה מחדד את ייחודו של הגן כזירת צדק חלוקתי, שבה המשאב המחולק אינו ציון הניתן לרישום, אלא משאב רך שחלוקתו עלולה להיעלם מן העין ללא מעקב מכוון (קרמרסקי ורש, 2004).</w:t>
      </w:r>
    </w:p>
    <w:p>
      <w:pPr>
        <w:bidi w:val="1"/>
        <w:pStyle w:val="Heading2"/>
        <w:bidi w:val="1"/>
        <w:spacing w:line="360" w:lineRule="auto" w:after="120"/>
        <w:jc w:val="right"/>
      </w:pPr>
      <w:r>
        <w:rPr>
          <w:rFonts w:ascii="David" w:hAnsi="David" w:cs="David"/>
          <w:b/>
          <w:i w:val="0"/>
          <w:noProof/>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noProof/>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noProof/>
          <w:color w:val="000000"/>
          <w:sz w:val="24"/>
          <w:szCs w:val="24"/>
          <w:rtl w:val="1"/>
        </w:rPr>
        <w:t>5.3.1 ההבחנה העקרונית ויישומיה</w:t>
      </w:r>
    </w:p>
    <w:p>
      <w:pPr>
        <w:bidi w:val="1"/>
        <w:spacing w:line="360" w:lineRule="auto" w:after="120"/>
        <w:jc w:val="both"/>
      </w:pPr>
      <w:r>
        <w:rPr>
          <w:rFonts w:ascii="David" w:hAnsi="David" w:cs="David"/>
          <w:b w:val="0"/>
          <w:i w:val="0"/>
          <w:noProof/>
          <w:color w:val="000000"/>
          <w:sz w:val="24"/>
          <w:szCs w:val="24"/>
          <w:rtl w:val="1"/>
        </w:rPr>
        <w:t>המרואיינות 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noProof/>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noProof/>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שלוש הדוגמאות מבטאות את המעבר מן התפיסה הפורמלית של השוויון אל התפיסה המהותית של ההוגנות, שבמרכזה התאמת המשאבים לנקודת הפתיחה של הילד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noProof/>
          <w:color w:val="000000"/>
          <w:sz w:val="24"/>
          <w:szCs w:val="24"/>
          <w:rtl w:val="1"/>
        </w:rPr>
        <w:t>5.3.2 הנחלת ההבחנה לילדים</w:t>
      </w:r>
    </w:p>
    <w:p>
      <w:pPr>
        <w:bidi w:val="1"/>
        <w:spacing w:line="360" w:lineRule="auto" w:after="120"/>
        <w:jc w:val="both"/>
      </w:pPr>
      <w:r>
        <w:rPr>
          <w:rFonts w:ascii="David" w:hAnsi="David" w:cs="David"/>
          <w:b w:val="0"/>
          <w:i w:val="0"/>
          <w:noProof/>
          <w:color w:val="000000"/>
          <w:sz w:val="24"/>
          <w:szCs w:val="24"/>
          <w:rtl w:val="1"/>
        </w:rPr>
        <w:t>ממצא מפתיע בעוצמתו הוא שההבחנה בין שווה להוגן אינה נשארת נחלת הגננת בלבד: ארבע מרואיינות תיארו כיצד הן מלמדות אותה במפורש את הילדים.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noProof/>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 ממצאים אלה עולים בקנה אחד עם המחקר ההתפתחותי, שלפיו היכולת להעדיף חלוקה מבוססת-צורך מתגבשת בגיל הגן ומתבססת בשנות בית הספר (Grütter et al., 2024; Elenbaas &amp; Mistry, 2021), והם מוסיפים לו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noProof/>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noProof/>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noProof/>
          <w:color w:val="000000"/>
          <w:sz w:val="24"/>
          <w:szCs w:val="24"/>
          <w:rtl w:val="1"/>
        </w:rPr>
        <w:t>5.4.1 שקיפות, תור וצפיות ככלי הוגנות</w:t>
      </w:r>
    </w:p>
    <w:p>
      <w:pPr>
        <w:bidi w:val="1"/>
        <w:spacing w:line="360" w:lineRule="auto" w:after="120"/>
        <w:jc w:val="both"/>
      </w:pPr>
      <w:r>
        <w:rPr>
          <w:rFonts w:ascii="David" w:hAnsi="David" w:cs="David"/>
          <w:b w:val="0"/>
          <w:i w:val="0"/>
          <w:noProof/>
          <w:color w:val="000000"/>
          <w:sz w:val="24"/>
          <w:szCs w:val="24"/>
          <w:rtl w:val="1"/>
        </w:rPr>
        <w:t>כל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noProof/>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מוגן בפני עצמו. שתי התפיסות מבטאות במדויק את הרעיון של צדק פרוצדורלי: הליך שקוף, עקבי וניתן לחיזוי נחווה כהוגן גם בטרם נבחנה תוצאתו (Jiang et al., 2018).</w:t>
      </w:r>
    </w:p>
    <w:p>
      <w:pPr>
        <w:bidi w:val="1"/>
        <w:pStyle w:val="Heading3"/>
        <w:bidi w:val="1"/>
        <w:spacing w:line="360" w:lineRule="auto" w:after="120"/>
        <w:jc w:val="right"/>
      </w:pPr>
      <w:r>
        <w:rPr>
          <w:rFonts w:ascii="David" w:hAnsi="David" w:cs="David"/>
          <w:b/>
          <w:i w:val="0"/>
          <w:noProof/>
          <w:color w:val="000000"/>
          <w:sz w:val="24"/>
          <w:szCs w:val="24"/>
          <w:rtl w:val="1"/>
        </w:rPr>
        <w:t>5.4.2 הכלל הגלוי והשתתפות הילדים</w:t>
      </w:r>
    </w:p>
    <w:p>
      <w:pPr>
        <w:bidi w:val="1"/>
        <w:spacing w:line="360" w:lineRule="auto" w:after="120"/>
        <w:jc w:val="both"/>
      </w:pPr>
      <w:r>
        <w:rPr>
          <w:rFonts w:ascii="David" w:hAnsi="David" w:cs="David"/>
          <w:b w:val="0"/>
          <w:i w:val="0"/>
          <w:noProof/>
          <w:color w:val="000000"/>
          <w:sz w:val="24"/>
          <w:szCs w:val="24"/>
          <w:rtl w:val="1"/>
        </w:rPr>
        <w:t>לצד השקיפות תיארה מרואיינת 3, הצעירה שבמרואיינות, ממד נוסף: הוצאת ההכרעה מידי הגננת והעברתה אל כלל גלוי, מוסכם ובלתי תלוי באיש:</w:t>
      </w:r>
    </w:p>
    <w:p>
      <w:pPr>
        <w:bidi w:val="1"/>
        <w:spacing w:line="360" w:lineRule="auto" w:after="160"/>
        <w:ind w:right="600" w:left="600"/>
        <w:jc w:val="both"/>
      </w:pPr>
      <w:r>
        <w:rPr>
          <w:rFonts w:ascii="David" w:hAnsi="David" w:cs="David"/>
          <w:b w:val="0"/>
          <w:i/>
          <w:noProof/>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 השילוב הזה, כלל שקוף לצד חריגה מנומקת, ממחיש כיצד עקרון השוויון הפרוצדורלי ועקרון הצורך מתקיימים זה לצד זה בפרקטיקה אחת (Deutsch, 1985; Jiang et al., 2018), והוא מהדהד את תפיסת הילדים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noProof/>
          <w:color w:val="000000"/>
          <w:sz w:val="24"/>
          <w:szCs w:val="24"/>
          <w:rtl w:val="1"/>
        </w:rPr>
        <w:t>5.4.3 איזון המרחב הקבוצתי והתמודדות עם הדרה</w:t>
      </w:r>
    </w:p>
    <w:p>
      <w:pPr>
        <w:bidi w:val="1"/>
        <w:spacing w:line="360" w:lineRule="auto" w:after="120"/>
        <w:jc w:val="both"/>
      </w:pPr>
      <w:r>
        <w:rPr>
          <w:rFonts w:ascii="David" w:hAnsi="David" w:cs="David"/>
          <w:b w:val="0"/>
          <w:i w:val="0"/>
          <w:noProof/>
          <w:color w:val="000000"/>
          <w:sz w:val="24"/>
          <w:szCs w:val="24"/>
          <w:rtl w:val="1"/>
        </w:rPr>
        <w:t>המרחב הקבוצתי עצמו נתפס בעיני המרואיינות כמשאב שיש לחלקו בהוגנות. כל השש התייחסו לילד ה"לוקח" מקום רב, ועמדתן המשותפת הייתה שאין לדכאו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noProof/>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noProof/>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(דאגה שקטה לבגדים ולתנאים) והן במעמד החברתי. ממצא זה מדגים את השילוב שמתארת הספרות בין ממדי ההכלה, ההוגנות והצדק בעבודת הגננת (Lang et al., 2024).</w:t>
      </w:r>
    </w:p>
    <w:p>
      <w:pPr>
        <w:bidi w:val="1"/>
        <w:pStyle w:val="Heading2"/>
        <w:bidi w:val="1"/>
        <w:spacing w:line="360" w:lineRule="auto" w:after="120"/>
        <w:jc w:val="right"/>
      </w:pPr>
      <w:r>
        <w:rPr>
          <w:rFonts w:ascii="David" w:hAnsi="David" w:cs="David"/>
          <w:b/>
          <w:i w:val="0"/>
          <w:noProof/>
          <w:color w:val="000000"/>
          <w:sz w:val="24"/>
          <w:szCs w:val="24"/>
          <w:rtl w:val="1"/>
        </w:rPr>
        <w:t>5.5 צדק חברתי-כלכלי ומניעת בושה</w:t>
      </w:r>
    </w:p>
    <w:p>
      <w:pPr>
        <w:bidi w:val="1"/>
        <w:spacing w:line="360" w:lineRule="auto" w:after="120"/>
        <w:jc w:val="both"/>
      </w:pPr>
      <w:r>
        <w:rPr>
          <w:rFonts w:ascii="David" w:hAnsi="David" w:cs="David"/>
          <w:b w:val="0"/>
          <w:i w:val="0"/>
          <w:noProof/>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noProof/>
          <w:color w:val="000000"/>
          <w:sz w:val="24"/>
          <w:szCs w:val="24"/>
          <w:rtl w:val="1"/>
        </w:rPr>
        <w:t>5.5.1 מניעת בושה כערך מארגן</w:t>
      </w:r>
    </w:p>
    <w:p>
      <w:pPr>
        <w:bidi w:val="1"/>
        <w:spacing w:line="360" w:lineRule="auto" w:after="120"/>
        <w:jc w:val="both"/>
      </w:pPr>
      <w:r>
        <w:rPr>
          <w:rFonts w:ascii="David" w:hAnsi="David" w:cs="David"/>
          <w:b w:val="0"/>
          <w:i w:val="0"/>
          <w:noProof/>
          <w:color w:val="000000"/>
          <w:sz w:val="24"/>
          <w:szCs w:val="24"/>
          <w:rtl w:val="1"/>
        </w:rPr>
        <w:t>הפרקטיקה הבולטת ביותר בקטגוריה זו היא עיצוב מוקדם של כללי הגן כך שפערים כלכליים לא יקבלו במה. מרואיינת 2 תיארה כלל שקבעה בעקבות מקרה שחוותה:</w:t>
      </w:r>
    </w:p>
    <w:p>
      <w:pPr>
        <w:bidi w:val="1"/>
        <w:spacing w:line="360" w:lineRule="auto" w:after="160"/>
        <w:ind w:right="600" w:left="600"/>
        <w:jc w:val="both"/>
      </w:pPr>
      <w:r>
        <w:rPr>
          <w:rFonts w:ascii="David" w:hAnsi="David" w:cs="David"/>
          <w:b w:val="0"/>
          <w:i/>
          <w:noProof/>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noProof/>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pStyle w:val="Heading3"/>
        <w:bidi w:val="1"/>
        <w:spacing w:line="360" w:lineRule="auto" w:after="120"/>
        <w:jc w:val="right"/>
      </w:pPr>
      <w:r>
        <w:rPr>
          <w:rFonts w:ascii="David" w:hAnsi="David" w:cs="David"/>
          <w:b/>
          <w:i w:val="0"/>
          <w:noProof/>
          <w:color w:val="000000"/>
          <w:sz w:val="24"/>
          <w:szCs w:val="24"/>
          <w:rtl w:val="1"/>
        </w:rPr>
        <w:t>5.5.2 הגן כמרחב מתקן</w:t>
      </w:r>
    </w:p>
    <w:p>
      <w:pPr>
        <w:bidi w:val="1"/>
        <w:spacing w:line="360" w:lineRule="auto" w:after="120"/>
        <w:jc w:val="both"/>
      </w:pPr>
      <w:r>
        <w:rPr>
          <w:rFonts w:ascii="David" w:hAnsi="David" w:cs="David"/>
          <w:b w:val="0"/>
          <w:i w:val="0"/>
          <w:noProof/>
          <w:color w:val="000000"/>
          <w:sz w:val="24"/>
          <w:szCs w:val="24"/>
          <w:rtl w:val="1"/>
        </w:rPr>
        <w:t>מעבר למניעת הבושה, שלוש מרואיינות תיארו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noProof/>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הקצאה מוגברת של משאבים למי שנקודת הפתיחה שלו נמוכה, כדי לקרבו לנקודת פתיחה שווה (דהאן, 2010; אדלר ובלס, 2009). ממצא זה אף מתכתב עם מחקרים המלמדים 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noProof/>
          <w:color w:val="000000"/>
          <w:sz w:val="24"/>
          <w:szCs w:val="24"/>
          <w:rtl w:val="1"/>
        </w:rPr>
        <w:t>5.6 הגננת כסוכנת צדק וכמחנכת ערכים</w:t>
      </w:r>
    </w:p>
    <w:p>
      <w:pPr>
        <w:bidi w:val="1"/>
        <w:spacing w:line="360" w:lineRule="auto" w:after="120"/>
        <w:jc w:val="both"/>
      </w:pPr>
      <w:r>
        <w:rPr>
          <w:rFonts w:ascii="David" w:hAnsi="David" w:cs="David"/>
          <w:b w:val="0"/>
          <w:i w:val="0"/>
          <w:noProof/>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noProof/>
          <w:color w:val="000000"/>
          <w:sz w:val="24"/>
          <w:szCs w:val="24"/>
          <w:rtl w:val="1"/>
        </w:rPr>
        <w:t>5.6.1 דוגמה אישית כדרך המלך לחינוך לצדק</w:t>
      </w:r>
    </w:p>
    <w:p>
      <w:pPr>
        <w:bidi w:val="1"/>
        <w:spacing w:line="360" w:lineRule="auto" w:after="120"/>
        <w:jc w:val="both"/>
      </w:pPr>
      <w:r>
        <w:rPr>
          <w:rFonts w:ascii="David" w:hAnsi="David" w:cs="David"/>
          <w:b w:val="0"/>
          <w:i w:val="0"/>
          <w:noProof/>
          <w:color w:val="000000"/>
          <w:sz w:val="24"/>
          <w:szCs w:val="24"/>
          <w:rtl w:val="1"/>
        </w:rPr>
        <w:t>ממצא עקבי אצל חמש מרואיינות הוא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noProof/>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 בכך מתחברות המרואיינות לתפיסת הגננת כדמות מוסרית מעצבת וכסוכנת חיברות ראשונה (Solehuddin &amp; Adriany, 2017).</w:t>
      </w:r>
      <w:r>
        <w:rPr>
          <w:rFonts w:ascii="David" w:hAnsi="David" w:cs="David"/>
          <w:noProof/>
          <w:color w:val="000000"/>
          <w:sz w:val="24"/>
          <w:szCs w:val="24"/>
          <w:rtl w:val="1"/>
        </w:rPr>
        <w:t xml:space="preserve">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noProof/>
          <w:color w:val="000000"/>
          <w:sz w:val="24"/>
          <w:szCs w:val="24"/>
          <w:rtl w:val="1"/>
        </w:rPr>
        <w:t>5.6.2 שליחות, ותק והשונות בין הגננות</w:t>
      </w:r>
    </w:p>
    <w:p>
      <w:pPr>
        <w:bidi w:val="1"/>
        <w:spacing w:line="360" w:lineRule="auto" w:after="120"/>
        <w:jc w:val="both"/>
      </w:pPr>
      <w:r>
        <w:rPr>
          <w:rFonts w:ascii="David" w:hAnsi="David" w:cs="David"/>
          <w:b w:val="0"/>
          <w:i w:val="0"/>
          <w:noProof/>
          <w:color w:val="000000"/>
          <w:sz w:val="24"/>
          <w:szCs w:val="24"/>
          <w:rtl w:val="1"/>
        </w:rPr>
        <w:t>לצד ההסכמה הערכית הגורפת, ניכרו הבדלים באופן שבו הגננות ממשיגות את תפקידן. מרואיינת 6 תיארה את קידום הצדק כייעוד חיים:</w:t>
      </w:r>
    </w:p>
    <w:p>
      <w:pPr>
        <w:bidi w:val="1"/>
        <w:spacing w:line="360" w:lineRule="auto" w:after="160"/>
        <w:ind w:right="600" w:left="600"/>
        <w:jc w:val="both"/>
      </w:pPr>
      <w:r>
        <w:rPr>
          <w:rFonts w:ascii="David" w:hAnsi="David" w:cs="David"/>
          <w:b w:val="0"/>
          <w:i/>
          <w:noProof/>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עולה בקנה אחד עם ממצאי הספרות בדבר שונות רבה בין גננות במודעות ובכלים לעיסוק בצדק ובהוגנות (Lang et al., 2024; Ryan &amp; Grieshaber, 2024), והיא מלמדת כי הבסיס הערכי קודם לשפה המקצועית, אך אינו תלוי בה.</w:t>
      </w:r>
      <w:r>
        <w:rPr>
          <w:rFonts w:ascii="David" w:hAnsi="David" w:cs="David"/>
          <w:noProof/>
          <w:color w:val="000000"/>
          <w:sz w:val="24"/>
          <w:szCs w:val="24"/>
          <w:rtl w:val="1"/>
        </w:rPr>
        <w:t xml:space="preserve"> שונות דומה בין גננות תועדה גם באשר לאמונות פדגוגיות רחבות יותר, שנמצאו מושפעות בין היתר ממאפייני אוכלוסיית הגן (סברדלוב ואחרים, 2017).</w:t>
      </w:r>
    </w:p>
    <w:p>
      <w:pPr>
        <w:bidi w:val="1"/>
        <w:pStyle w:val="Heading2"/>
        <w:bidi w:val="1"/>
        <w:spacing w:line="360" w:lineRule="auto" w:after="120"/>
        <w:jc w:val="right"/>
      </w:pPr>
      <w:r>
        <w:rPr>
          <w:rFonts w:ascii="David" w:hAnsi="David" w:cs="David"/>
          <w:b/>
          <w:noProof/>
          <w:color w:val="000000"/>
          <w:sz w:val="24"/>
          <w:szCs w:val="24"/>
          <w:rtl w:val="1"/>
        </w:rPr>
        <w:t>5.7 צדק ביחסי גננת-הורים</w:t>
      </w:r>
    </w:p>
    <w:p>
      <w:pPr>
        <w:bidi w:val="1"/>
        <w:spacing w:line="360" w:lineRule="auto" w:after="120"/>
        <w:jc w:val="both"/>
      </w:pPr>
      <w:r>
        <w:rPr>
          <w:rFonts w:ascii="David" w:hAnsi="David" w:cs="David"/>
          <w:noProof/>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noProof/>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noProof/>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noProof/>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noProof/>
          <w:color w:val="000000"/>
          <w:sz w:val="24"/>
          <w:szCs w:val="24"/>
          <w:rtl w:val="1"/>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 ממצאים אלה עולים בקנה אחד עם הספרות המתארת את יחסי הגננות וההורים כיחסים אמביוולנטיים, המשלבים הערכה ותמיכה עם תלונות ולחצים (אדרי, 2021), ואת התקשורת הפתוחה והאמון כגורמים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noProof/>
          <w:color w:val="000000"/>
          <w:sz w:val="24"/>
          <w:szCs w:val="24"/>
          <w:rtl w:val="1"/>
        </w:rPr>
        <w:t>5.8 סיכום פרק הממצאים</w:t>
      </w:r>
    </w:p>
    <w:p>
      <w:pPr>
        <w:bidi w:val="1"/>
        <w:spacing w:line="360" w:lineRule="auto" w:after="120"/>
        <w:jc w:val="both"/>
      </w:pPr>
      <w:r>
        <w:rPr>
          <w:rFonts w:ascii="David" w:hAnsi="David" w:cs="David"/>
          <w:b w:val="0"/>
          <w:i w:val="0"/>
          <w:noProof/>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noProof/>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p>
    <w:p>
      <w:pPr>
        <w:pageBreakBefore/>
        <w:bidi w:val="1"/>
        <w:pStyle w:val="Heading1"/>
        <w:bidi w:val="1"/>
        <w:spacing w:line="360" w:lineRule="auto" w:before="280" w:after="160"/>
        <w:jc w:val="both"/>
      </w:pPr>
      <w:r>
        <w:rPr>
          <w:rFonts w:ascii="David" w:hAnsi="David" w:cs="David"/>
          <w:b/>
          <w:noProof/>
          <w:color w:val="000000"/>
          <w:sz w:val="30"/>
          <w:szCs w:val="30"/>
          <w:rtl w:val="1"/>
          <w:rtl w:val="1"/>
        </w:rPr>
        <w:t>6. דיון</w:t>
      </w:r>
    </w:p>
    <w:p>
      <w:pPr>
        <w:bidi w:val="1"/>
        <w:spacing w:line="360" w:lineRule="auto" w:after="120"/>
        <w:jc w:val="both"/>
      </w:pPr>
      <w:r>
        <w:rPr>
          <w:rFonts w:ascii="David" w:hAnsi="David" w:cs="David"/>
          <w:noProof/>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בעבודתן היומיומית. לשם כך נערכו ראיונות עומק חצי-מובנים עם שש גננות בעלות ותק, רקע ואוכלוסיית גן מגוונים, והנתונים נותחו על-פי עקרונות התיאוריה המעוגנת בשדה (גבתון, 2001; שקדי, 2003).</w:t>
      </w:r>
    </w:p>
    <w:p>
      <w:pPr>
        <w:bidi w:val="1"/>
        <w:spacing w:line="360" w:lineRule="auto" w:after="120"/>
        <w:jc w:val="both"/>
      </w:pPr>
      <w:r>
        <w:rPr>
          <w:rFonts w:ascii="David" w:hAnsi="David" w:cs="David"/>
          <w:noProof/>
          <w:color w:val="000000"/>
          <w:sz w:val="24"/>
          <w:szCs w:val="24"/>
          <w:rtl w:val="1"/>
        </w:rPr>
        <w:t>ניתוח הנתונים חשף שבע תמות מרכזיות,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הגננת כסוכנת צדק וכמחנכת ערכים.</w:t>
      </w:r>
    </w:p>
    <w:p>
      <w:pPr>
        <w:bidi w:val="1"/>
        <w:spacing w:line="360" w:lineRule="auto" w:after="120"/>
        <w:jc w:val="both"/>
      </w:pPr>
      <w:r>
        <w:rPr>
          <w:rFonts w:ascii="David" w:hAnsi="David" w:cs="David"/>
          <w:noProof/>
          <w:color w:val="000000"/>
          <w:sz w:val="24"/>
          <w:szCs w:val="24"/>
          <w:rtl w:val="1"/>
        </w:rPr>
        <w:t>במרכז התמות עומדת ההבחנה החדה שערכו כל שש המרואיינות בין חלוקה שווה לחלוקה הוגנת, והעדפתן הברורה את ההוגנות מבוססת-הצורך על פני השוויון המכני, ממצא התואם את עיקרון הצורך בגישה הרב-ממדית לצדק חלוקתי (Connell, 1993; סבג וביברמן-שלו, 2014). סביב ליבה זו התארגנו יתר הממצאים: חלוקת תשומת הלב נתפסה כפעולה מכוונת ושיטתית, הנדרשת להיאבק בעוול הסמוי של הילד השקט, באופן המחבר בין הצדק החלוקתי לצדק האינטראקציוני (Horan et al., 2010; Jiang et al., 2018); השקיפות והצפיות של כללי הגן נתפסו כמקור תחושת ההוגנות, ברוח הצדק הפרוצדורלי; הגן נתפס כמרחב מתקן, המצמצם פערים חברתיים-כלכליים ומונע בושה (אדלר ובלס, 2009; דהאן, 2010; Elenbaas &amp; Mistry, 2021); הוגנות הגננת נמצאה נבחנת גם מול ההורים, בהתאם לתיאור היחסים האמביוולנטיים בספרות (אדרי, 2021; לוי ואחרים, 2023); ולבסוף, הגננות תיארו את קידום ערכי השוויון והצדק כשליחות הנלמדת בדוגמה אישית, ברוח הקוד האתי בגן הילדים (מכללת סמינר הקיבוצים, 2018) ובהלימה לספרות על הגננת כסוכנת חיברות מוסרית (Solehuddin &amp; Adriany, 2017; Lee et al., 2022).</w:t>
      </w:r>
    </w:p>
    <w:p>
      <w:pPr>
        <w:bidi w:val="1"/>
        <w:spacing w:line="360" w:lineRule="auto" w:after="120"/>
        <w:jc w:val="both"/>
      </w:pPr>
      <w:r>
        <w:rPr>
          <w:rFonts w:ascii="David" w:hAnsi="David" w:cs="David"/>
          <w:noProof/>
          <w:color w:val="000000"/>
          <w:sz w:val="24"/>
          <w:szCs w:val="24"/>
          <w:rtl w:val="1"/>
        </w:rPr>
        <w:t>תמות אלה תורמות תרומה כפולה. מן ההיבט התיאורטי, המחקר מרחיב את הידע על תפיסות צדק אל הגיל הרך, זירה שכמעט לא נחקרה, וממחיש כי עקרונות הצדק החלוקתי מתקיימים בגן במלוא עוצמתם, אך סביב משאבים רכים ובלתי מדידים, תשומת לב, זמן ומרחב, ולא סביב ציונים, כפי שנחקר עד כה בבתי הספר (קרמרסקי ורש, 2004). מן ההיבט היישומי, המחקר חושף כי העשייה הצודקת של הגננות היא ברובה אינטואיטיבית וסמויה, וכי השפה המושגית והכלים לעסוק בה אינם נחלת הכול, ממצא המתיישב עם השונות שתועדה בספרות בין גננות (סברדלוב ואחרים, 2017; Lang et al., 2024; Ryan &amp; Grieshaber, 2024) ומצביע על הצורך בהמשגה מפורשת של הצדק החלוקתי בהכשרת גננות.</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7. סיכום</w:t>
      </w:r>
    </w:p>
    <w:p>
      <w:pPr>
        <w:bidi w:val="1"/>
        <w:spacing w:line="360" w:lineRule="auto" w:after="120"/>
        <w:jc w:val="both"/>
      </w:pPr>
      <w:r>
        <w:rPr>
          <w:rFonts w:ascii="David" w:hAnsi="David" w:cs="David"/>
          <w:noProof/>
          <w:color w:val="000000"/>
          <w:sz w:val="24"/>
          <w:szCs w:val="24"/>
          <w:rtl w:val="1"/>
        </w:rPr>
        <w:t>מן הממצאים והדיון עולות כמה הבנות מרכזיות. ראשית, תפיסת הצדק של הגננות היא במהותה תפיסה של הוגנות מבוססת-צורך ולא של שוויון מכני: הגננת אינה שואפת לתת לכל הילדים את אותו הדבר, אלא לתת לכל ילד את מה שהוא צריך כדי להגיע לאותה נקודה. שנית, הצדק בגן אינו מושג מופשט אלא נבנה מאינספור החלטות זעירות ויומיומיות, של קשב, של תור, של מקום ושל מילה, וכל אחת מהן היא הכרעה חלוקתית קטנה. שלישית, מאחר שהגננת היא סוכנת הצדק הראשונה של הילד מול החברה, לתפיסותיה ולפרקטיקות שלה השפעה מעצבת על חוויית הצדק והשייכות הראשונית שלו. ולבסוף, הבסיס הערכי קיים אצל כלל הגננות, אך השפה המושגית והכלים המקצועיים אינם תמיד זמינים להן, והעשייה הצודקת נותרת פעמים רבות אינטואיטיבית וסמויה.</w:t>
      </w:r>
    </w:p>
    <w:p>
      <w:pPr>
        <w:bidi w:val="1"/>
        <w:spacing w:line="360" w:lineRule="auto" w:after="120"/>
        <w:jc w:val="both"/>
      </w:pPr>
      <w:r>
        <w:rPr>
          <w:rFonts w:ascii="David" w:hAnsi="David" w:cs="David"/>
          <w:noProof/>
          <w:color w:val="000000"/>
          <w:sz w:val="24"/>
          <w:szCs w:val="24"/>
          <w:rtl w:val="1"/>
        </w:rPr>
        <w:t>להבנות אלה השלכות מעשיות למעגלים שונים. לגננות בשטח מוצע לאמץ כלים פשוטים לניטור מכוון של חלוקת הקשב, דוגמת רישום יומי של מגעים אישיים, כדי שהילד השקט לא ייעלם; למוסדות ההכשרה ולהשתלמויות מוצע לשלב התייחסות מפורשת להבחנה בין שווה להוגן ולחלוקת המשאבים הרכים, וללוות גננות מתחילות בגיבוש שפה מקצועית בתחום; למערכת החינוך מוצע להכיר בגן כמרחב מצמצם פערים ולתמוך בכך במשאבים ובגיבוי; ובקשר עם ההורים מוצע להקדים שקיפות: להציג את עקרון ההוגנות כבר בתחילת השנה, כדי לצמצם מתחים סביב דרישות ליחס מועדף.</w:t>
      </w:r>
    </w:p>
    <w:p>
      <w:pPr>
        <w:bidi w:val="1"/>
        <w:spacing w:line="360" w:lineRule="auto" w:after="120"/>
        <w:jc w:val="both"/>
      </w:pPr>
      <w:r>
        <w:rPr>
          <w:rFonts w:ascii="David" w:hAnsi="David" w:cs="David"/>
          <w:noProof/>
          <w:color w:val="000000"/>
          <w:sz w:val="24"/>
          <w:szCs w:val="24"/>
          <w:rtl w:val="1"/>
        </w:rPr>
        <w:t>לצד זאת יש לסייג: המחקר התבסס על מדגם קטן של שש גננות מאזור המרכז, נשי כולו וממגזר יהודי, והוא נשען על דיווח עצמי בראיונות, כך שייתכן פער בין התפיסות המוצהרות לבין הפרקטיקה בפועל (וראו הרחבה בסעיף 4.10). לפיכך, מוצע במחקר עתידי להרחיב את המדגם לאזורים ולמגזרים נוספים ולכלול גם גננים, לשלב תצפיות בשדה לצד ראיונות, לבחון את סוגיית הצדק בגן גם מנקודת מבטם של הילדים ושל ההורים, ולבדוק לאורך זמן את השפעתה של הכשרה ייעודית בנושא על הפרקטיקה.</w:t>
      </w:r>
    </w:p>
    <w:p>
      <w:pPr>
        <w:bidi w:val="1"/>
        <w:spacing w:line="360" w:lineRule="auto" w:after="120"/>
        <w:jc w:val="both"/>
      </w:pPr>
      <w:r>
        <w:rPr>
          <w:rFonts w:ascii="David" w:hAnsi="David" w:cs="David"/>
          <w:noProof/>
          <w:color w:val="000000"/>
          <w:sz w:val="24"/>
          <w:szCs w:val="24"/>
          <w:rtl w:val="1"/>
        </w:rPr>
        <w:t>בהערה אישית, העבודה על מחקר זה לימדה אותי שהשאלה "מה הוגן" אינה שאלה תיאורטית עבור הגננת, אלא שאלה שהיא משיבה עליה בפועל עשרות פעמים ביום, לרוב בלי מילים. ההאזנה לשש הגננות חידדה בי את ההכרה שמאחורי כל גן מתנהל מפעל שקט של צדק, וששווה לתת לו שם.</w:t>
      </w:r>
    </w:p>
    <w:p>
      <w:pPr>
        <w:pStyle w:val="Heading1"/>
        <w:pageBreakBefore/>
        <w:bidi w:val="1"/>
        <w:spacing w:line="360" w:lineRule="auto"/>
        <w:jc w:val="right"/>
      </w:pPr>
      <w:r>
        <w:rPr>
          <w:rFonts w:ascii="David" w:hAnsi="David" w:cs="David"/>
          <w:b/>
          <w:noProof/>
          <w:color w:val="000000"/>
          <w:sz w:val="24"/>
          <w:szCs w:val="24"/>
          <w:rtl w:val="1"/>
        </w:rPr>
        <w:t>8. רפלקציה</w:t>
      </w:r>
    </w:p>
    <w:p>
      <w:pPr>
        <w:bidi w:val="1"/>
        <w:spacing w:line="360" w:lineRule="auto"/>
        <w:ind/>
        <w:jc w:val="both"/>
      </w:pPr>
      <w:r>
        <w:rPr>
          <w:rFonts w:ascii="David" w:hAnsi="David" w:cs="David"/>
          <w:b w:val="0"/>
          <w:noProof/>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b w:val="0"/>
          <w:noProof/>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jc w:val="both"/>
      </w:pPr>
      <w:r>
        <w:rPr>
          <w:rFonts w:ascii="David" w:hAnsi="David" w:cs="David"/>
          <w:b w:val="0"/>
          <w:noProof/>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9. רשימת המקורות</w:t>
      </w:r>
    </w:p>
    <w:p>
      <w:pPr>
        <w:bidi w:val="1"/>
        <w:spacing w:line="360" w:lineRule="auto" w:after="120"/>
        <w:ind w:left="480"/>
        <w:jc w:val="both"/>
      </w:pPr>
      <w:r>
        <w:rPr>
          <w:rFonts w:ascii="David" w:hAnsi="David" w:cs="David"/>
          <w:noProof/>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noProof/>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noProof/>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noProof/>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noProof/>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noProof/>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noProof/>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noProof/>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noProof/>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noProof/>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noProof/>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noProof/>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noProof/>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noProof/>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noProof/>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noProof/>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noProof/>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noProof/>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noProof/>
          <w:color w:val="000000"/>
          <w:sz w:val="24"/>
        </w:rPr>
        <w:t>Connell, R. W. (1993). Schools and social justice. Temple University Press.</w:t>
      </w:r>
    </w:p>
    <w:p>
      <w:pPr>
        <w:bidi w:val="1"/>
        <w:spacing w:line="360" w:lineRule="auto" w:after="120"/>
        <w:ind w:left="480"/>
        <w:jc w:val="both"/>
      </w:pPr>
      <w:r>
        <w:rPr>
          <w:rFonts w:ascii="David" w:hAnsi="David" w:cs="David"/>
          <w:noProof/>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noProof/>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noProof/>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noProof/>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noProof/>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noProof/>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noProof/>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noProof/>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noProof/>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noProof/>
          <w:color w:val="000000"/>
          <w:sz w:val="24"/>
        </w:rPr>
        <w:t>Rawls, J. (1971). A theory of justice. Harvard University Press.</w:t>
      </w:r>
    </w:p>
    <w:p>
      <w:pPr>
        <w:bidi w:val="1"/>
        <w:spacing w:line="360" w:lineRule="auto" w:after="120"/>
        <w:ind w:left="480"/>
        <w:jc w:val="both"/>
      </w:pPr>
      <w:r>
        <w:rPr>
          <w:rFonts w:ascii="David" w:hAnsi="David" w:cs="David"/>
          <w:noProof/>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noProof/>
          <w:color w:val="000000"/>
          <w:sz w:val="24"/>
        </w:rPr>
        <w:t>Solehuddin, M., &amp; Adriany, V. (2017). Kindergarten teachers’ understanding on social justice: Stories from Indonesia. SAGE Open, 7(4). https://doi.org/10.1177/2158244017739340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24"/>
          <w:szCs w:val="24"/>
          <w:rtl w:val="1"/>
          <w:rtl w:val="1"/>
        </w:rPr>
        <w:t>10. נספחים</w:t>
      </w:r>
    </w:p>
    <w:p>
      <w:pPr>
        <w:bidi w:val="1"/>
        <w:pStyle w:val="Heading2"/>
        <w:bidi w:val="1"/>
        <w:spacing w:line="360" w:lineRule="auto" w:before="280" w:after="160"/>
        <w:jc w:val="both"/>
      </w:pPr>
      <w:r>
        <w:rPr>
          <w:rFonts w:ascii="David" w:hAnsi="David" w:cs="David"/>
          <w:b/>
          <w:noProof/>
          <w:color w:val="000000"/>
          <w:sz w:val="26"/>
          <w:szCs w:val="26"/>
          <w:rtl w:val="1"/>
          <w:rtl w:val="1"/>
        </w:rPr>
        <w:t>נספח 1: מדריך הראיון החצי-מובנה</w:t>
      </w:r>
    </w:p>
    <w:p>
      <w:pPr>
        <w:bidi w:val="1"/>
        <w:spacing w:line="360" w:lineRule="auto" w:after="80"/>
        <w:jc w:val="both"/>
      </w:pPr>
      <w:r>
        <w:rPr>
          <w:rFonts w:ascii="David" w:hAnsi="David" w:cs="David"/>
          <w:noProof/>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noProof/>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noProof/>
          <w:color w:val="000000"/>
          <w:szCs w:val="24"/>
          <w:rtl w:val="1"/>
        </w:rPr>
        <w:t>3. איזה גיל וקבוצה את מלמדת היום, וכמה ילדים בגן?</w:t>
      </w:r>
    </w:p>
    <w:p>
      <w:pPr>
        <w:bidi w:val="1"/>
        <w:spacing w:line="360" w:lineRule="auto" w:after="80"/>
        <w:jc w:val="both"/>
      </w:pPr>
      <w:r>
        <w:rPr>
          <w:rFonts w:ascii="David" w:hAnsi="David" w:cs="David"/>
          <w:noProof/>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noProof/>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noProof/>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noProof/>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noProof/>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noProof/>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noProof/>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noProof/>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noProof/>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noProof/>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noProof/>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noProof/>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noProof/>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noProof/>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noProof/>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noProof/>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noProof/>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noProof/>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noProof/>
          <w:color w:val="000000"/>
          <w:szCs w:val="24"/>
          <w:rtl w:val="1"/>
        </w:rPr>
        <w:t>22. האם את מרגישה שתפקידך כגננת כולל קידום ערכים של שוויון וצדק חברתי? תארי לי כיצד.</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noProof/>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noProof/>
          <w:color w:val="000000"/>
          <w:sz w:val="24"/>
          <w:szCs w:val="24"/>
          <w:rtl w:val="1"/>
        </w:rPr>
        <w:t>מקרא הצבעים:</w:t>
      </w:r>
    </w:p>
    <w:p>
      <w:pPr>
        <w:bidi w:val="1"/>
        <w:spacing w:line="288" w:lineRule="auto" w:after="40"/>
        <w:jc w:val="both"/>
      </w:pPr>
      <w:r>
        <w:rPr>
          <w:rFonts w:ascii="David" w:hAnsi="David" w:cs="David"/>
          <w:noProof/>
          <w:color w:val="000000"/>
          <w:szCs w:val="24"/>
          <w:highlight w:val="green"/>
          <w:rtl w:val="1"/>
        </w:rPr>
        <w:t xml:space="preserve">       </w:t>
      </w:r>
      <w:r>
        <w:rPr>
          <w:rFonts w:ascii="David" w:hAnsi="David" w:cs="David"/>
          <w:noProof/>
          <w:color w:val="000000"/>
          <w:szCs w:val="24"/>
          <w:rtl w:val="1"/>
        </w:rPr>
        <w:t xml:space="preserve">  ירוק – הוגנות ועיקרון הצורך (מה שהילד צריך)</w:t>
      </w:r>
    </w:p>
    <w:p>
      <w:pPr>
        <w:bidi w:val="1"/>
        <w:spacing w:line="288" w:lineRule="auto" w:after="40"/>
        <w:jc w:val="both"/>
      </w:pPr>
      <w:r>
        <w:rPr>
          <w:rFonts w:ascii="David" w:hAnsi="David" w:cs="David"/>
          <w:noProof/>
          <w:color w:val="000000"/>
          <w:szCs w:val="24"/>
          <w:highlight w:val="cyan"/>
          <w:rtl w:val="1"/>
        </w:rPr>
        <w:t xml:space="preserve">       </w:t>
      </w:r>
      <w:r>
        <w:rPr>
          <w:rFonts w:ascii="David" w:hAnsi="David" w:cs="David"/>
          <w:noProof/>
          <w:color w:val="000000"/>
          <w:szCs w:val="24"/>
          <w:rtl w:val="1"/>
        </w:rPr>
        <w:t xml:space="preserve">  טורקיז – שוויון ושוויון הזדמנויות</w:t>
      </w:r>
    </w:p>
    <w:p>
      <w:pPr>
        <w:bidi w:val="1"/>
        <w:spacing w:line="288" w:lineRule="auto" w:after="40"/>
        <w:jc w:val="both"/>
      </w:pPr>
      <w:r>
        <w:rPr>
          <w:rFonts w:ascii="David" w:hAnsi="David" w:cs="David"/>
          <w:noProof/>
          <w:color w:val="000000"/>
          <w:szCs w:val="24"/>
          <w:highlight w:val="yellow"/>
          <w:rtl w:val="1"/>
        </w:rPr>
        <w:t xml:space="preserve">       </w:t>
      </w:r>
      <w:r>
        <w:rPr>
          <w:rFonts w:ascii="David" w:hAnsi="David" w:cs="David"/>
          <w:noProof/>
          <w:color w:val="000000"/>
          <w:szCs w:val="24"/>
          <w:rtl w:val="1"/>
        </w:rPr>
        <w:t xml:space="preserve">  צהוב – חלוקת תשומת לב וקשב / הילד השקט</w:t>
      </w:r>
    </w:p>
    <w:p>
      <w:pPr>
        <w:bidi w:val="1"/>
        <w:spacing w:line="288" w:lineRule="auto" w:after="40"/>
        <w:jc w:val="both"/>
      </w:pPr>
      <w:r>
        <w:rPr>
          <w:rFonts w:ascii="David" w:hAnsi="David" w:cs="David"/>
          <w:noProof/>
          <w:color w:val="000000"/>
          <w:szCs w:val="24"/>
          <w:highlight w:val="magenta"/>
          <w:rtl w:val="1"/>
        </w:rPr>
        <w:t xml:space="preserve">       </w:t>
      </w:r>
      <w:r>
        <w:rPr>
          <w:rFonts w:ascii="David" w:hAnsi="David" w:cs="David"/>
          <w:noProof/>
          <w:color w:val="000000"/>
          <w:szCs w:val="24"/>
          <w:rtl w:val="1"/>
        </w:rPr>
        <w:t xml:space="preserve">  ורוד – מרחב, כללים, תור והדרה</w:t>
      </w:r>
    </w:p>
    <w:p>
      <w:pPr>
        <w:bidi w:val="1"/>
        <w:spacing w:line="288" w:lineRule="auto" w:after="40"/>
        <w:jc w:val="both"/>
      </w:pPr>
      <w:r>
        <w:rPr>
          <w:rFonts w:ascii="David" w:hAnsi="David" w:cs="David"/>
          <w:noProof/>
          <w:color w:val="000000"/>
          <w:szCs w:val="24"/>
          <w:highlight w:val="lightGray"/>
          <w:rtl w:val="1"/>
        </w:rPr>
        <w:t xml:space="preserve">       </w:t>
      </w:r>
      <w:r>
        <w:rPr>
          <w:rFonts w:ascii="David" w:hAnsi="David" w:cs="David"/>
          <w:noProof/>
          <w:color w:val="000000"/>
          <w:szCs w:val="24"/>
          <w:rtl w:val="1"/>
        </w:rPr>
        <w:t xml:space="preserve">  אפור – רקע חברתי-כלכלי ומניעת בושה</w:t>
      </w:r>
    </w:p>
    <w:p>
      <w:pPr>
        <w:bidi w:val="1"/>
        <w:spacing w:line="288" w:lineRule="auto" w:after="40"/>
        <w:jc w:val="both"/>
      </w:pPr>
      <w:r>
        <w:rPr>
          <w:rFonts w:ascii="David" w:hAnsi="David" w:cs="David"/>
          <w:noProof/>
          <w:color w:val="000000"/>
          <w:szCs w:val="24"/>
          <w:highlight w:val="red"/>
          <w:rtl w:val="1"/>
        </w:rPr>
        <w:t xml:space="preserve">       </w:t>
      </w:r>
      <w:r>
        <w:rPr>
          <w:rFonts w:ascii="David" w:hAnsi="David" w:cs="David"/>
          <w:noProof/>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שאלת הראיון</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1</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2</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3</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4</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5</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6</w:t>
            </w:r>
          </w:p>
        </w:tc>
      </w:tr>
      <w:tr>
        <w:tc>
          <w:tcPr>
            <w:tcW w:type="dxa" w:w="1337"/>
          </w:tcPr>
          <w:p>
            <w:pPr>
              <w:bidi w:val="1"/>
              <w:spacing w:line="240" w:lineRule="auto"/>
              <w:jc w:val="right"/>
            </w:pPr>
            <w:r>
              <w:rPr>
                <w:rFonts w:ascii="David" w:hAnsi="David" w:cs="David"/>
                <w:b/>
                <w:noProof/>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noProof/>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noProof/>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noProof/>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noProof/>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noProof/>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noProof/>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noProof/>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noProof/>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noProof/>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noProof/>
                <w:color w:val="000000"/>
                <w:sz w:val="16"/>
                <w:szCs w:val="16"/>
                <w:rtl w:val="1"/>
              </w:rPr>
              <w:t xml:space="preserve">כן, עבדתי בשלושה גנים לפני זה. הראשון היה בשכונה מבוססת מאוד, ושם הכל הגיע מהבית,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בגדים חדשים, וה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noProof/>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xml:space="preserve">. ההבדל הוא תהומי. פה הילד מגיע לפעמים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noProof/>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noProof/>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noProof/>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noProof/>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noProof/>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קצת שונה מרוב הבנות בכיתה. אני חושבת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noProof/>
                <w:color w:val="000000"/>
                <w:sz w:val="16"/>
                <w:szCs w:val="16"/>
                <w:rtl w:val="1"/>
              </w:rPr>
              <w:t>הוכשרתי במכללה להכשרת גננות, נכנסתי ללימודים בגיל שלושים אחרי שנים במשרד. תראי,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noProof/>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noProof/>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לימד אותי ש</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הוא לפעמים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לא נוחות.</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לגיל הרך, אבל האמת היא שההכשרה שהכי מעצבת אותי היום היא דווקא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noProof/>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noProof/>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אז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הנוספים זה חלק מזה בעיני.</w:t>
            </w:r>
          </w:p>
        </w:tc>
        <w:tc>
          <w:tcPr>
            <w:tcW w:type="dxa" w:w="1337"/>
          </w:tcPr>
          <w:p>
            <w:pPr>
              <w:bidi w:val="1"/>
              <w:spacing w:line="240" w:lineRule="auto"/>
              <w:jc w:val="right"/>
            </w:pPr>
            <w:r>
              <w:rPr>
                <w:rFonts w:ascii="David" w:hAnsi="David" w:cs="David"/>
                <w:noProof/>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noProof/>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noProof/>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noProof/>
                <w:color w:val="000000"/>
                <w:sz w:val="16"/>
                <w:szCs w:val="16"/>
                <w:rtl w:val="1"/>
              </w:rPr>
              <w:t xml:space="preserve">כן, יש לי עוד תפקיד שמאוד יקר לי. אני מנחה בתכנית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חברתית, כלומר אני מלווה גננות אחרות ועוזרת להן להכניס שפה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noProof/>
                <w:color w:val="000000"/>
                <w:sz w:val="16"/>
                <w:szCs w:val="16"/>
                <w:rtl w:val="1"/>
              </w:rPr>
              <w:t xml:space="preserve">מעבר לניהול הגן עצמו, אני לא לוקחת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noProof/>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noProof/>
                <w:color w:val="000000"/>
                <w:sz w:val="16"/>
                <w:szCs w:val="16"/>
                <w:rtl w:val="1"/>
              </w:rPr>
              <w:t xml:space="preserve">תראי, כשאני שומעת צדק בגן הילדים, הדבר הראשון שעולה לי זה דווקא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אני יודעת שזה נשמע מוזר.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noProof/>
                <w:color w:val="000000"/>
                <w:sz w:val="16"/>
                <w:szCs w:val="16"/>
                <w:highlight w:val="green"/>
                <w:rtl w:val="1"/>
              </w:rPr>
              <w:t>מה שכל ילד צריך</w:t>
            </w:r>
            <w:r>
              <w:rPr>
                <w:rFonts w:ascii="David" w:hAnsi="David" w:cs="David"/>
                <w:noProof/>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דווקא לא של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צדק בגן זה בעיניי בעיקר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ולא סתם לחלק את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ולהגיד לעצמי שהיה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וזה גם ללמד את הילדים בעצמם לזהות מתי 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בסוף הם אלה שיחיו את העולם הזה. אז המילה הראשונה שלי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אלא ראייה של הילד.</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שצדק זה לא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הרבה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וזה שונה מילד לילד. אם יש לי ילד שבא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הצדק שלי מתחיל בזה שאני מסתכלת על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לפני שאני מחלקת. אני גם חושבת מיד על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בשבילי צדק וכבוד זה כמעט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כי חוסר צדק בגן הוא כמעט תמיד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noProof/>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וזה שני דברים שונים לגמרי. צדק בגן בעיני זה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לא לתת לכולם את אותו הדבר בדיוק.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חוזרת אליה כל הזמן. יש לי ילד, נקרא לו יוסי, שמגיע בבוקר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ארוחת בוקר בבטן. אם אני אתן לכולם פרוסה אחת, זה נשמע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לילד שאכל בבית זה קינוח ולילד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הישרדות. אז אני דואגת שיוסי יקבל יותר,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להכריז,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מול החברים. הצדק האמיתי הוא הצדק שאף אחד לא רואה אותו קורה. צדק שמלווה ב</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noProof/>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noProof/>
                <w:color w:val="000000"/>
                <w:sz w:val="16"/>
                <w:szCs w:val="16"/>
                <w:rtl w:val="1"/>
              </w:rPr>
              <w:t xml:space="preserve">בהחלט, זה לב התפיסה שלי. אבל אני לא מדברת עם הילדים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noProof/>
                <w:color w:val="000000"/>
                <w:sz w:val="16"/>
                <w:szCs w:val="16"/>
                <w:highlight w:val="yellow"/>
                <w:rtl w:val="1"/>
              </w:rPr>
              <w:t>שקוף</w:t>
            </w:r>
            <w:r>
              <w:rPr>
                <w:rFonts w:ascii="David" w:hAnsi="David" w:cs="David"/>
                <w:noProof/>
                <w:color w:val="000000"/>
                <w:sz w:val="16"/>
                <w:szCs w:val="16"/>
                <w:rtl w:val="1"/>
              </w:rPr>
              <w:t xml:space="preserve"> לי, נעם,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אם אני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noProof/>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צנוע,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על לתת מקום, על להזמין את מי שלבד.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noProof/>
                <w:color w:val="000000"/>
                <w:sz w:val="16"/>
                <w:szCs w:val="16"/>
                <w:rtl w:val="1"/>
              </w:rPr>
              <w:t>לגמרי, זה ממש הלב של התפיסה שלי, אולי בגלל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noProof/>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אני עובדת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noProof/>
                <w:color w:val="000000"/>
                <w:sz w:val="16"/>
                <w:szCs w:val="16"/>
                <w:rtl w:val="1"/>
              </w:rPr>
              <w:t xml:space="preserve">בהחלט,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בהתהוות, ילד שלומד לראות את הרגש של השני ולא לפחד ממנו. אני גם מקפידה שבחלוקת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בגן לא תמיד אותם ילדים חזקים יובילו. לפעמים אני נותנת דווקא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noProof/>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noProof/>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noProof/>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noProof/>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noProof/>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noProof/>
                <w:color w:val="000000"/>
                <w:sz w:val="16"/>
                <w:szCs w:val="16"/>
                <w:rtl w:val="1"/>
              </w:rPr>
              <w:t xml:space="preserve">עם שלושים ושלושה ילדים, אם אני אחלק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לעצמי, כל ילד צריך לקבל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noProof/>
                <w:color w:val="000000"/>
                <w:sz w:val="16"/>
                <w:szCs w:val="16"/>
                <w:rtl w:val="1"/>
              </w:rPr>
              <w:t xml:space="preserve">תשומת הלב היא המשאב הכי יקר שיש לי, והחלוקה שלה היא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בגן שיש בו 38 ילדים וכל כך הרבה צרכים גדולים וקולניים,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noProof/>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noProof/>
                <w:color w:val="000000"/>
                <w:sz w:val="16"/>
                <w:szCs w:val="16"/>
                <w:rtl w:val="1"/>
              </w:rPr>
              <w:t xml:space="preserve">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noProof/>
                <w:color w:val="000000"/>
                <w:sz w:val="16"/>
                <w:szCs w:val="16"/>
                <w:highlight w:val="green"/>
                <w:rtl w:val="1"/>
              </w:rPr>
              <w:t>מה שהילד צריך</w:t>
            </w:r>
            <w:r>
              <w:rPr>
                <w:rFonts w:ascii="David" w:hAnsi="David" w:cs="David"/>
                <w:noProof/>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noProof/>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חזרתי לעיקרון שלי,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דקה.</w:t>
            </w:r>
          </w:p>
        </w:tc>
        <w:tc>
          <w:tcPr>
            <w:tcW w:type="dxa" w:w="1337"/>
          </w:tcPr>
          <w:p>
            <w:pPr>
              <w:bidi w:val="1"/>
              <w:spacing w:line="240" w:lineRule="auto"/>
              <w:jc w:val="right"/>
            </w:pPr>
            <w:r>
              <w:rPr>
                <w:rFonts w:ascii="David" w:hAnsi="David" w:cs="David"/>
                <w:noProof/>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איתי לא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noProof/>
                <w:color w:val="000000"/>
                <w:sz w:val="16"/>
                <w:szCs w:val="16"/>
                <w:highlight w:val="cyan"/>
                <w:rtl w:val="1"/>
              </w:rPr>
              <w:t>שווה</w:t>
            </w:r>
            <w:r>
              <w:rPr>
                <w:rFonts w:ascii="David" w:hAnsi="David" w:cs="David"/>
                <w:noProof/>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noProof/>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היא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המיוחדת תיצור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היא לימדה את כל הקבוצה מה זה לתמוך במישהו. אז אני לא מפחדת </w:t>
            </w:r>
            <w:r>
              <w:rPr>
                <w:rFonts w:ascii="David" w:hAnsi="David" w:cs="David"/>
                <w:noProof/>
                <w:color w:val="000000"/>
                <w:sz w:val="16"/>
                <w:szCs w:val="16"/>
                <w:highlight w:val="green"/>
                <w:rtl w:val="1"/>
              </w:rPr>
              <w:t>לתת יותר למי שצריך</w:t>
            </w:r>
            <w:r>
              <w:rPr>
                <w:rFonts w:ascii="David" w:hAnsi="David" w:cs="David"/>
                <w:noProof/>
                <w:color w:val="000000"/>
                <w:sz w:val="16"/>
                <w:szCs w:val="16"/>
                <w:rtl w:val="1"/>
              </w:rPr>
              <w:t xml:space="preserve"> יותר, כי זה מה שנראה לי באמת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noProof/>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לא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למדתי לעשות את זה חכם. במקום להצמיד אותו רק אליי, נתתי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noProof/>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noProof/>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עיוור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noProof/>
                <w:color w:val="000000"/>
                <w:sz w:val="16"/>
                <w:szCs w:val="16"/>
                <w:rtl w:val="1"/>
              </w:rPr>
              <w:t>בחומרים אני עובדת עם דבר אחד שהוא מקור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אצלי,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יבוא.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הזאת עשתה פלאים. אין יותר מריבות על האופניים, כי אין אי ודאות.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בחלוקה של דברים פיזיים כמו אופניים או משחקים אני משתדלת שיהיו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noProof/>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noProof/>
                <w:color w:val="000000"/>
                <w:sz w:val="16"/>
                <w:szCs w:val="16"/>
                <w:highlight w:val="magenta"/>
                <w:rtl w:val="1"/>
              </w:rPr>
              <w:t>תור</w:t>
            </w:r>
            <w:r>
              <w:rPr>
                <w:rFonts w:ascii="David" w:hAnsi="David" w:cs="David"/>
                <w:noProof/>
                <w:color w:val="000000"/>
                <w:sz w:val="16"/>
                <w:szCs w:val="16"/>
                <w:rtl w:val="1"/>
              </w:rPr>
              <w:t>, יש שעון חול, יש שמות, ילד יודע שה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אני שונאת את הווי</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noProof/>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לא ב</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ילדה קטנה וחלשה, ועצרתי הכל, אמרתי לו, פה זה לא עובד ככה, פה כולם מקבלים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להזדים לו הזדמנות. החלוקה בגן שלי היא הצהרה, פה, בתוך הקירות האלה, לכולכם מגיע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noProof/>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noProof/>
                <w:color w:val="000000"/>
                <w:sz w:val="16"/>
                <w:szCs w:val="16"/>
                <w:rtl w:val="1"/>
              </w:rPr>
              <w:t xml:space="preserve">לא, בשבילי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שאני מנסה להעביר.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בדיוק.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להצליח.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כולם קיבלו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עומר נשאר מאחור ומתוסכל.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נתתי לעומר יותר ממני, ודווקא זה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מסבירה את זה גם לילדים בשפה שלהם, כשמישהו אומר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קיבל יותר, אני אומרת, לכל אחד יש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ואני נותנת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שממחישה את זה יפה.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עיוור זה לפעמים אי צדק. אם לילד יש רגל שבורה ואני מכריחה אותו לרוץ עם כולם בשם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פגעתי בו. אז אני תמיד שואלת את עצמי, לא מה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בעיניי אחד הדברים הכי חשובים שגננת יכולה להבין.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כמעט כל יום. בזמן ארוחת בוקר, אם אני נותנת לכל ילד בדיוק חצי פרוסה,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נכון. אבל יש לי ילד גדול ו</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שחצי פרוסה לא מספיקה לו, ויש ילדה קטנטונת שגם חצי זה הרבה עליה. אז מה עשיתי פה ב</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גרמתי לאחד להישאר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ולשנייה לזרוק אוכל.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אבל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הנמוך עדיין לא רואה, ורק אם נותנים לו עוד ארגז זה הופך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noProof/>
                <w:color w:val="000000"/>
                <w:sz w:val="16"/>
                <w:szCs w:val="16"/>
                <w:rtl w:val="1"/>
              </w:rPr>
              <w:t xml:space="preserve">לא, בשום פנים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בעצם כל הסיפור שלי.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אתן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כביכול, כי לכולם אותו מסלול ואותו קו זינוק.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בכלל, כי שירה יודעת מראש שהיא תגיע אחרונה, כל פעם, מול כל הגן. זו לא תחרות בשבילה, 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זה נתן לשירה מקום להצליח.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לשנות את המשחק כך שגם היא תוכל לזרוח. אני מעדיפה תמיד את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מבחוץ הוא נראה פחות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היבש לטובת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noProof/>
                <w:color w:val="000000"/>
                <w:sz w:val="16"/>
                <w:szCs w:val="16"/>
                <w:rtl w:val="1"/>
              </w:rPr>
              <w:t xml:space="preserve">לא, בשבילי אלה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אחד הדברים החשובים שלמדתי.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אותה כמות, אותו זמן, אותו גודל.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להרגיש טוב ולהצליח. אני נותנת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זה שכל אחד מקבל את מה שנכון לו ברגע שלו.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שהבנתי ב 24 השנים האלה.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את אותו הדבר.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מעיל אחד לכל ילד, גם למי שכבר יש.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נשמע יפה ומרגיע. אצל הילד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אותה שאלה. פרוסה לכולם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להביא ליוסי עוד ארוחה בבוקר בלי לספר לאף אחד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לפעמים דווקא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noProof/>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noProof/>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נותנת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ואומר, נעם עוד לא דיבר, ניתן לו. כמעט בכיתי. זה בדיוק הרגע שבו הבנתי שהוא לא </w:t>
            </w:r>
            <w:r>
              <w:rPr>
                <w:rFonts w:ascii="David" w:hAnsi="David" w:cs="David"/>
                <w:noProof/>
                <w:color w:val="000000"/>
                <w:sz w:val="16"/>
                <w:szCs w:val="16"/>
                <w:highlight w:val="magenta"/>
                <w:rtl w:val="1"/>
              </w:rPr>
              <w:t>לוקח מקום</w:t>
            </w:r>
            <w:r>
              <w:rPr>
                <w:rFonts w:ascii="David" w:hAnsi="David" w:cs="David"/>
                <w:noProof/>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noProof/>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ואני נותנת לילדים אחרים הזדמנות להוביל,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אני אומרת, היום דניאל הוביל, מחר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שירה. ככה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אני גם פשוט שמה לזה מילים בשיחה קבוצתית,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noProof/>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יודע שגם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ה, יושבת הילדה שהייתי פעם.</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לידו יקבלו את הכדור, כי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noProof/>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שנבלעים. במעגל אני אומרת בפירוש, עכשיו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ו של פלוני לדבר, ואנחנו מקשיבים לו. אני לא נותנת לילד אחד להיות כל הסיפור, כי אז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noProof/>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לא בעיה של הילד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אחד הדברים שאני הכי לא סובלת, ואני קופצת עליו מיד. אבל בגן שלי 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כמעט תמיד קשורה ל</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וזה מה שהופך אותה בעיני לעוול כפול. ילד </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בהרצאה על יפה לשתף, אתה נלחם בה בכך שאתה נותן לילד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noProof/>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noProof/>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שאף אחד ידע.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noProof/>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noProof/>
                <w:color w:val="000000"/>
                <w:sz w:val="16"/>
                <w:szCs w:val="16"/>
                <w:rtl w:val="1"/>
              </w:rPr>
              <w:t>כן, בהחלט, יש בגן שלנו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noProof/>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פשוט לא יופיע על הרצפה של הגן. הכסף נשאר בחוץ, בשער. בפנים 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עולה לי בעבודה ובמחשבה, אבל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רגע. אני מעדיפה להשקיע מהתקציב של הגן ומהזמן שלי, ובלבד שאף ילד לא ירגיש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noProof/>
                <w:color w:val="000000"/>
                <w:sz w:val="16"/>
                <w:szCs w:val="16"/>
                <w:rtl w:val="1"/>
              </w:rPr>
              <w:t>כן, בהחלט, יש לי בגן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מאוד שונים, גם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היה מקובל שכל ילד מביא עוגה מפוארת ומתנות, ואני שמתי לב שילד אחד, שההורים שלו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מילים, כי ילד לא צריך להרגיש שהוא מקרה. המטרה שלי היא שבתוך שערי הגן, כל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שבחוץ יישארו בחוץ, ושכל ילד ירגיש שכאן 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פשוט להפוך את מה שנראה כמו חיסרון למשהו 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זהב.</w:t>
            </w:r>
          </w:p>
        </w:tc>
        <w:tc>
          <w:tcPr>
            <w:tcW w:type="dxa" w:w="1337"/>
          </w:tcPr>
          <w:p>
            <w:pPr>
              <w:bidi w:val="1"/>
              <w:spacing w:line="240" w:lineRule="auto"/>
              <w:jc w:val="right"/>
            </w:pPr>
            <w:r>
              <w:rPr>
                <w:rFonts w:ascii="David" w:hAnsi="David" w:cs="David"/>
                <w:noProof/>
                <w:color w:val="000000"/>
                <w:sz w:val="16"/>
                <w:szCs w:val="16"/>
                <w:rtl w:val="1"/>
              </w:rPr>
              <w:t>כן, בהחלט, אם כי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אצלי הם פחות בין עשירים לעניים ויותר בין רמות שונות של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האלה כל רגע. אני אף פעם לא שואלת שאלות שיכולות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noProof/>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לא אקריא בקול מי ידע ומי לא.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לא מיישרת את כולם לאותה שורה. במקום זה, אני עובדת בקבוצות קטנות, לפי רמות,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אני נותנת לכל ילד כלים לפי מה שהוא מסוגל לקלוט. תראי,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לא הופך לפצע.</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כל ילד מרגיש הצלחה בגובה שלו. אבל מה שהכי חשוב לי זה שהילדים לא ירגישו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כתחרות. אני אף פעם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למקור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של יהירות.</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עד היום בבטן, אז אני עושה בדיוק ההפך.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ילד שמתקשה להיפרד בבוקר מקבל טקס פרטי משלו, לא הצגה מול כולם. ב</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נעזרת בילדים החזקים כדי לעזור לחלשים, ילדה שבשלה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אצל אף ילד לתחושה שהוא פחות. כי בסוף,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הכי מסוכן הוא 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ביכולת, אלא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בביטחון, בכמה ילד מאמין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noProof/>
                <w:color w:val="000000"/>
                <w:sz w:val="16"/>
                <w:szCs w:val="16"/>
                <w:rtl w:val="1"/>
              </w:rPr>
              <w:t>אני מתמודדת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נותנת </w:t>
            </w:r>
            <w:r>
              <w:rPr>
                <w:rFonts w:ascii="David" w:hAnsi="David" w:cs="David"/>
                <w:noProof/>
                <w:color w:val="000000"/>
                <w:sz w:val="16"/>
                <w:szCs w:val="16"/>
                <w:highlight w:val="magenta"/>
                <w:rtl w:val="1"/>
              </w:rPr>
              <w:t>יציב</w:t>
            </w:r>
            <w:r>
              <w:rPr>
                <w:rFonts w:ascii="David" w:hAnsi="David" w:cs="David"/>
                <w:noProof/>
                <w:color w:val="000000"/>
                <w:sz w:val="16"/>
                <w:szCs w:val="16"/>
                <w:rtl w:val="1"/>
              </w:rPr>
              <w:t xml:space="preserve">ות שבבית לפעמים אין, אותו סדר יום, אותם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בשנה אחת. אבל אני יכולה לצמצם אותו, ואני יכולה לשתול בילד את התחושה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כל ילד אחר בעיר. וזה, בטווח הארוך,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מהכל.</w:t>
            </w:r>
          </w:p>
        </w:tc>
      </w:tr>
      <w:tr>
        <w:tc>
          <w:tcPr>
            <w:tcW w:type="dxa" w:w="1337"/>
          </w:tcPr>
          <w:p>
            <w:pPr>
              <w:bidi w:val="1"/>
              <w:spacing w:line="240" w:lineRule="auto"/>
              <w:jc w:val="right"/>
            </w:pPr>
            <w:r>
              <w:rPr>
                <w:rFonts w:ascii="David" w:hAnsi="David" w:cs="David"/>
                <w:b/>
                <w:noProof/>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גם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פזורים לאורך כל היום. שהצעצוע מהבית הופך משותף בשער. שאני לא פותחת בשאלות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ות. שבחצר החלוקה של האופניים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ולא של החזק תופס. שבארוחה אני שמה לב שלכל ילד יש, ואם למישהו אין, אני מסדרת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כי הרעשנים לא בולעים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אחר כך פעילות, ואז חצר, ושם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השמות על האופניים שומר על השלום. בארוחה אני מקפידה שהחלוקה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שאף אחד לא מקבל פחות, ושילד שאין לו אוכל מהבית מקבל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ובכבוד.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הם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שכל ילד יידע מה הולך לקרות ומתי מגיע </w:t>
            </w:r>
            <w:r>
              <w:rPr>
                <w:rFonts w:ascii="David" w:hAnsi="David" w:cs="David"/>
                <w:noProof/>
                <w:color w:val="000000"/>
                <w:sz w:val="16"/>
                <w:szCs w:val="16"/>
                <w:highlight w:val="magenta"/>
                <w:rtl w:val="1"/>
              </w:rPr>
              <w:t>תור</w:t>
            </w:r>
            <w:r>
              <w:rPr>
                <w:rFonts w:ascii="David" w:hAnsi="David" w:cs="David"/>
                <w:noProof/>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ה, הילד מרגיש בטוח, ומתוך ביטחון צומחת תחושת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יום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יום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במעגל אני מקפידה שכל ילד שרוצה לדבר יקבל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noProof/>
                <w:color w:val="000000"/>
                <w:sz w:val="16"/>
                <w:szCs w:val="16"/>
                <w:highlight w:val="green"/>
                <w:rtl w:val="1"/>
              </w:rPr>
              <w:t>לפי הצורך</w:t>
            </w:r>
            <w:r>
              <w:rPr>
                <w:rFonts w:ascii="David" w:hAnsi="David" w:cs="David"/>
                <w:noProof/>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noProof/>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בבוקר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הרבה לפני שהילדים נכנסים. אני מגיעה מוקדם, מסדרת את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ובעיקר עושה לעצמי רגע של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שתיים, שחלוקת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היומיים תהיה מגוונת, שגם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לחצר, אז שיניתי את הסדר.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אבל הוא כן זוכר שדווקא היום נתתי לו להיות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noProof/>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בשיא העדינות, דואגת שה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ראשית שאף ילד לא יבוזה בגלל מה שאין לו, שנית שהחומרים והחוויות מגיעים לכולם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ושלישית שאני מוצאת זמן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שקל לפספס. אני שמה לב לדברים הקטנים, מי אף פעם לא נבחר לתפקיד, מי תמיד אחרון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מי אף אחד לא שם לב אליו.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noProof/>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noProof/>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האחרון כי הוא לא נלחם, שם אני מתערבת, כי זה עוול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שאף אחד לא צועק עליו. אני נזהרת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שאפשר לתקן. ילד שהעוול נבלע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noProof/>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פוצעת. אני עובדת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לפעמים בצד, בגובה העיניים. המקרים שהכי חשוב לי לפעול בהם הם מקרים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את מופתעת כמה הם יודעים לענות. פעם ילד אמר לחבר,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noProof/>
                <w:color w:val="000000"/>
                <w:sz w:val="16"/>
                <w:szCs w:val="16"/>
                <w:rtl w:val="1"/>
              </w:rPr>
              <w:t>מאוד חשוב לי, אני חושבת שזה אחד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noProof/>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 את שני הצדדים. אני לוקחת את הילד הפוגע הצידה,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noProof/>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בעצמם. אני מתערבת כשיש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noProof/>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פה כל אחד מקבל מקום. אני עושה את זה במיוחד כשה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קשורה ל</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שרק שלושה ילדים תמיד מקבלים את האופניים. והם </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noProof/>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noProof/>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noProof/>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noProof/>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יותר מכל שיעור. עייפות היא לא תירוץ לוותר על ה</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noProof/>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רק לנו השתיים, כי גם התנצלות צריכה להיות בלי קהל, בדיוק כמו שה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noProof/>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noProof/>
                <w:color w:val="000000"/>
                <w:sz w:val="16"/>
                <w:szCs w:val="16"/>
                <w:rtl w:val="1"/>
              </w:rPr>
              <w:t>היה מקרה שרודף אותי עד היום. בשנה עמוסה במיוחד, עם כל כך הרבה ילדים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שצעקו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הייתה לי ילדה, מור,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ובכל זאת נבלעה לי בין הקולניים.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למשהו שיטתי, לא משהו שאני עושה אם יישאר זמן. כל יום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אחד מקבל ממני רגע פרטי, לא משנה כמה הגן בוער. מור לימדה אותי שאי הצדק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noProof/>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כשמשהו נלקח ממנו. בהתחלה זה מאוד ממני מרכזי,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מקבל. אבל סביב ארבע וחצי, חמש, אני רואה קפיצה יפה,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הם גם מפתחים חוש חד לצביעות שלנו, אם אני אומרת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רק להשקות אותם.</w:t>
            </w:r>
          </w:p>
        </w:tc>
        <w:tc>
          <w:tcPr>
            <w:tcW w:type="dxa" w:w="1337"/>
          </w:tcPr>
          <w:p>
            <w:pPr>
              <w:bidi w:val="1"/>
              <w:spacing w:line="240" w:lineRule="auto"/>
              <w:jc w:val="right"/>
            </w:pPr>
            <w:r>
              <w:rPr>
                <w:rFonts w:ascii="David" w:hAnsi="David" w:cs="David"/>
                <w:noProof/>
                <w:color w:val="000000"/>
                <w:sz w:val="16"/>
                <w:szCs w:val="16"/>
                <w:rtl w:val="1"/>
              </w:rPr>
              <w:t xml:space="preserve">ודאי שהם מבינים, ומגיל צעיר יותר ממה שחושבים. כבר בני שלוש מרגישים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בבטן, גם אם אין להם מילה לזה. אם אחד מקבל שתי סוכריות והשני אחת, תשמעי מיד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מפעוט. בגיל הזה זה עדיין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אמיתי. הם מבינים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תמיד לחלק </w:t>
            </w:r>
            <w:r>
              <w:rPr>
                <w:rFonts w:ascii="David" w:hAnsi="David" w:cs="David"/>
                <w:noProof/>
                <w:color w:val="000000"/>
                <w:sz w:val="16"/>
                <w:szCs w:val="16"/>
                <w:highlight w:val="cyan"/>
                <w:rtl w:val="1"/>
              </w:rPr>
              <w:t>שווה</w:t>
            </w:r>
            <w:r>
              <w:rPr>
                <w:rFonts w:ascii="David" w:hAnsi="David" w:cs="David"/>
                <w:noProof/>
                <w:color w:val="000000"/>
                <w:sz w:val="16"/>
                <w:szCs w:val="16"/>
                <w:rtl w:val="1"/>
              </w:rPr>
              <w:t>. הם ק</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noProof/>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xml:space="preserve">. אז כן, בגיל הגן יש להם תשתית אמיתית להבנה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noProof/>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כשהם מרגישים שקיפחו אותם. בהתחלה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אגואיסטית, כאילו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כי הזרע כבר שם בפנים. וכשהם רואים אותי בעצמי נותנת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noProof/>
                <w:color w:val="000000"/>
                <w:sz w:val="16"/>
                <w:szCs w:val="16"/>
                <w:rtl w:val="1"/>
              </w:rPr>
              <w:t xml:space="preserve">אני מאמינה שכן, ילדים בגיל הגן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אבל בצורה שלהם, מאוד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ופחות שכלית. כבר סביב גיל שלוש אתה שומע את המשפט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בהתחלה הוא כמעט תמיד אומר משהו כמו אני לא קיבלתי מה שרציתי.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עמוק יותר משהרבה מבוגרים. הם עדיין מתקשים עם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עוד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שלו יש שתי עוגיות ולי אחת. בהתחלה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בעצם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הם רוצים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אני עושה את זה כל הזמן. אני שואלת, אם לחבר כואבת הרגל והוא לא יכול לרוץ,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בסוף השנה מציע מעצמו לתת לחבר חלש יותר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אני רוצה בדיוק כמוך, ל</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noProof/>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noProof/>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noProof/>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וכולם עוברים בו, וזה בדיוק מה ששומר על רועי מוגן, כי 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אמרתי לו, אני אוהבת את רועי ואדאג לו, אבל אדאג לו בתוך המסגרת ה</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noProof/>
                <w:color w:val="000000"/>
                <w:sz w:val="16"/>
                <w:szCs w:val="16"/>
                <w:rtl w:val="1"/>
              </w:rPr>
              <w:t>היה לי מקרה שהורה של ילד ביקש שדווקא הבן שלו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noProof/>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noProof/>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noProof/>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לטענתה הוא מוכשר מהאחרים. הקשבתי לה בכבוד, ואז אמרתי לה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noProof/>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noProof/>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בהכרח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מול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הורה שואל, למה הילד השני קיבל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מסבירה, בכבוד, שאני נותנת לכל ילד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את ההורים, כי אני מאמינה שאם בגן אנחנו מלמדים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noProof/>
                <w:color w:val="000000"/>
                <w:sz w:val="16"/>
                <w:szCs w:val="16"/>
                <w:rtl w:val="1"/>
              </w:rPr>
              <w:t xml:space="preserve">אני משתפת, אבל בזהירות ובעיקר דרך מעשים, לא דרך הרצאות. אני לא עושה אסיפת 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כי זה נשמע מנותק. אבל אני כן מסבירה את המדיניות שלי, שהכל מגיע מהגן, שאין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noProof/>
                <w:color w:val="000000"/>
                <w:sz w:val="16"/>
                <w:szCs w:val="16"/>
                <w:rtl w:val="1"/>
              </w:rPr>
              <w:t>כן, אני מאמינה מאוד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מול ההורים, כי הם שותפים אמיתיים. באסיפות הורים אני מדברת איתם על השפה של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בגן, מסבירה למשל למה אצלנו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נחגגים באותה צורה לכולם, ולמה אני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כדי שלאורך השנה כל ילד יזכה, ושבדיוק בגלל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אלא סביב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noProof/>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noProof/>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הוא מבין את מה שהוא רואה. אם הוא רואה אותי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xml:space="preserve">, לא מהטפה, אני חוזרת לזה כי זה באמת האני מאמין שלי. אני לא מסוגלת </w:t>
            </w:r>
            <w:r>
              <w:rPr>
                <w:rFonts w:ascii="David" w:hAnsi="David" w:cs="David"/>
                <w:noProof/>
                <w:color w:val="000000"/>
                <w:sz w:val="16"/>
                <w:szCs w:val="16"/>
                <w:highlight w:val="red"/>
                <w:rtl w:val="1"/>
              </w:rPr>
              <w:t>לחנך</w:t>
            </w:r>
            <w:r>
              <w:rPr>
                <w:rFonts w:ascii="David" w:hAnsi="David" w:cs="David"/>
                <w:noProof/>
                <w:color w:val="000000"/>
                <w:sz w:val="16"/>
                <w:szCs w:val="16"/>
                <w:rtl w:val="1"/>
              </w:rPr>
              <w:t xml:space="preserve"> לצדק אם אני עצמי לא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noProof/>
                <w:color w:val="000000"/>
                <w:sz w:val="16"/>
                <w:szCs w:val="16"/>
                <w:highlight w:val="yellow"/>
                <w:rtl w:val="1"/>
              </w:rPr>
              <w:t>שקוף</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הגדולים של החיים. איך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איך נותנים מקום, איך לא דורסים את החלש, איך מזמינים את מי שלבד. אלה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צדק ו</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שאני 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noProof/>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הביא אותי לזה, ואני מרגישה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אם בגן הוא חווה מקום שבו לא משנה מאיפה באת, מה יש להורים שלך, איך אתה נראה,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יקבל חבר, שגם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יקבל אוכל בלי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זה קל, זה לא דורש ממני כלום. להכיר כל ילד ולתת לו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לא נעשה דרך שיעורים על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יקבל מקום, איך אני מתייחסת באותו כבוד לילד מכל בית. אני מאמינה עמוק ש</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noProof/>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בכל בוקר מחדש. אני לא מטיפה ל</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אני עושה אותו בפועל,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במעשים קטנים שאף אחד לא כותב עליהם בעיתון. כשאני מביאה ארוחה לילד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זה צדק. כשאני לוקחת ילד לים בפעם הראשונה בחייו, זה צמצום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שלי להיות המישהי הזאת בשביל 38 ילדים כל שנה. אני יודעת שאני לא יכולה לתקן את כל ה</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וזאת, בעיני, המשמעות האמיתית של להיות גננת. זה לא מקצוע, זו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w:t>
            </w:r>
          </w:p>
        </w:tc>
      </w:tr>
    </w:tbl>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noProof/>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noProof/>
          <w:color w:val="000000"/>
          <w:sz w:val="28"/>
          <w:szCs w:val="28"/>
          <w:rtl w:val="1"/>
        </w:rPr>
        <w:t>ראיון 1: שירה כהן</w:t>
      </w:r>
    </w:p>
    <w:p>
      <w:pPr>
        <w:bidi w:val="1"/>
        <w:spacing w:line="360" w:lineRule="auto" w:before="0" w:after="160"/>
        <w:jc w:val="center"/>
      </w:pPr>
      <w:r>
        <w:rPr>
          <w:rFonts w:ascii="David" w:hAnsi="David" w:cs="David"/>
          <w:b w:val="0"/>
          <w:noProof/>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2: רבקה לוי</w:t>
      </w:r>
    </w:p>
    <w:p>
      <w:pPr>
        <w:bidi w:val="1"/>
        <w:spacing w:line="360" w:lineRule="auto" w:before="0" w:after="160"/>
        <w:jc w:val="center"/>
      </w:pPr>
      <w:r>
        <w:rPr>
          <w:rFonts w:ascii="David" w:hAnsi="David" w:cs="David"/>
          <w:b w:val="0"/>
          <w:noProof/>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3: יעל אברהם</w:t>
      </w:r>
    </w:p>
    <w:p>
      <w:pPr>
        <w:bidi w:val="1"/>
        <w:spacing w:line="360" w:lineRule="auto" w:before="0" w:after="160"/>
        <w:jc w:val="center"/>
      </w:pPr>
      <w:r>
        <w:rPr>
          <w:rFonts w:ascii="David" w:hAnsi="David" w:cs="David"/>
          <w:b w:val="0"/>
          <w:noProof/>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4: תמר פרידמן</w:t>
      </w:r>
    </w:p>
    <w:p>
      <w:pPr>
        <w:bidi w:val="1"/>
        <w:spacing w:line="360" w:lineRule="auto" w:before="0" w:after="160"/>
        <w:jc w:val="center"/>
      </w:pPr>
      <w:r>
        <w:rPr>
          <w:rFonts w:ascii="David" w:hAnsi="David" w:cs="David"/>
          <w:b w:val="0"/>
          <w:noProof/>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5: נעמה בן-דוד</w:t>
      </w:r>
    </w:p>
    <w:p>
      <w:pPr>
        <w:bidi w:val="1"/>
        <w:spacing w:line="360" w:lineRule="auto" w:before="0" w:after="160"/>
        <w:jc w:val="center"/>
      </w:pPr>
      <w:r>
        <w:rPr>
          <w:rFonts w:ascii="David" w:hAnsi="David" w:cs="David"/>
          <w:b w:val="0"/>
          <w:noProof/>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6: אסתר מזרחי</w:t>
      </w:r>
    </w:p>
    <w:p>
      <w:pPr>
        <w:bidi w:val="1"/>
        <w:spacing w:line="360" w:lineRule="auto" w:before="0" w:after="160"/>
        <w:jc w:val="center"/>
      </w:pPr>
      <w:r>
        <w:rPr>
          <w:rFonts w:ascii="David" w:hAnsi="David" w:cs="David"/>
          <w:b w:val="0"/>
          <w:noProof/>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noProof/>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noProof/>
          <w:color w:val="000000"/>
          <w:sz w:val="24"/>
          <w:szCs w:val="24"/>
          <w:rtl w:val="1"/>
        </w:rPr>
        <w:t>שם הסטודנטית: מיטל נאורי</w:t>
      </w:r>
    </w:p>
    <w:p>
      <w:pPr>
        <w:bidi w:val="1"/>
        <w:spacing w:line="360" w:lineRule="auto" w:before="0" w:after="160"/>
        <w:jc w:val="both"/>
      </w:pPr>
      <w:r>
        <w:rPr>
          <w:rFonts w:ascii="David" w:hAnsi="David" w:cs="David"/>
          <w:b w:val="0"/>
          <w:noProof/>
          <w:color w:val="000000"/>
          <w:sz w:val="24"/>
          <w:szCs w:val="24"/>
          <w:rtl w:val="1"/>
        </w:rPr>
        <w:t>ת"ז: 206661779</w:t>
      </w:r>
    </w:p>
    <w:p>
      <w:pPr>
        <w:bidi w:val="1"/>
        <w:spacing w:line="360" w:lineRule="auto" w:before="0" w:after="160"/>
        <w:jc w:val="both"/>
      </w:pPr>
      <w:r>
        <w:rPr>
          <w:rFonts w:ascii="David" w:hAnsi="David" w:cs="David"/>
          <w:b w:val="0"/>
          <w:noProof/>
          <w:color w:val="000000"/>
          <w:sz w:val="24"/>
          <w:szCs w:val="24"/>
          <w:rtl w:val="1"/>
        </w:rPr>
        <w:t>שם הקורס: סמינריון צדק בכיתה</w:t>
      </w:r>
    </w:p>
    <w:p>
      <w:pPr>
        <w:bidi w:val="1"/>
        <w:spacing w:line="360" w:lineRule="auto" w:before="0" w:after="160"/>
        <w:jc w:val="both"/>
      </w:pPr>
      <w:r>
        <w:rPr>
          <w:rFonts w:ascii="David" w:hAnsi="David" w:cs="David"/>
          <w:b w:val="0"/>
          <w:noProof/>
          <w:color w:val="000000"/>
          <w:sz w:val="24"/>
          <w:szCs w:val="24"/>
          <w:rtl w:val="1"/>
        </w:rPr>
        <w:t>שם המרצה: ד"ר ליאת ביברמן-שלו</w:t>
      </w:r>
    </w:p>
    <w:p>
      <w:pPr>
        <w:bidi w:val="1"/>
        <w:spacing w:line="360" w:lineRule="auto" w:before="0" w:after="160"/>
        <w:jc w:val="both"/>
      </w:pPr>
      <w:r>
        <w:rPr>
          <w:rFonts w:ascii="David" w:hAnsi="David" w:cs="David"/>
          <w:b w:val="0"/>
          <w:noProof/>
          <w:color w:val="000000"/>
          <w:sz w:val="24"/>
          <w:szCs w:val="24"/>
          <w:rtl w:val="1"/>
        </w:rPr>
        <w:t>תאריך: ______________          חתימה: ______________</w:t>
      </w:r>
    </w:p>
    <w:sectPr w:rsidR="00FC693F" w:rsidRPr="0006063C" w:rsidSect="00034616">
      <w:bidi/>
      <w:footerReference w:type="default" r:id="rId10"/>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noProof/>
        <w:color w:val="000000"/>
        <w:sz w:val="24"/>
        <w:szCs w:val="24"/>
        <w:rtl w:val="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