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0" w:line="360" w:lineRule="auto"/>
        <w:jc w:val="center"/>
      </w:pPr>
      <w:r>
        <w:rPr>
          <w:rFonts w:ascii="David" w:cs="David" w:hAnsi="David"/>
          <w:b/>
          <w:bCs/>
          <w:sz w:val="24"/>
          <w:szCs w:val="24"/>
          <w:rtl/>
        </w:rPr>
        <w:t xml:space="preserve">הפקולטה למשפטים | דיני עונשין | סמסטר קיץ, התשפ"ו</w:t>
      </w:r>
    </w:p>
    <w:p>
      <w:pPr>
        <w:bidi/>
        <w:spacing w:after="0" w:before="0" w:line="360" w:lineRule="auto"/>
        <w:jc w:val="center"/>
      </w:pPr>
      <w:r>
        <w:rPr>
          <w:rFonts w:ascii="David" w:cs="David" w:hAnsi="David"/>
          <w:b w:val="false"/>
          <w:bCs w:val="false"/>
          <w:sz w:val="24"/>
          <w:szCs w:val="24"/>
          <w:rtl/>
        </w:rPr>
        <w:t xml:space="preserve">פרופ' גבריאל הלוי | מתרגל: עו"ד אריאל שניאור</w:t>
      </w:r>
    </w:p>
    <w:p>
      <w:pPr>
        <w:bidi/>
        <w:spacing w:after="0" w:before="120" w:line="360" w:lineRule="auto"/>
        <w:jc w:val="center"/>
      </w:pPr>
      <w:r>
        <w:rPr>
          <w:rFonts w:ascii="David" w:cs="David" w:hAnsi="David"/>
          <w:b/>
          <w:bCs/>
          <w:sz w:val="24"/>
          <w:szCs w:val="24"/>
          <w:u w:val="single"/>
          <w:rtl/>
        </w:rPr>
        <w:t xml:space="preserve">עבודת בקיאות</w:t>
      </w:r>
    </w:p>
    <w:p>
      <w:pPr>
        <w:bidi/>
        <w:spacing w:after="240" w:before="0" w:line="360" w:lineRule="auto"/>
        <w:jc w:val="center"/>
      </w:pPr>
      <w:r>
        <w:rPr>
          <w:rFonts w:ascii="David" w:cs="David" w:hAnsi="David"/>
          <w:b w:val="false"/>
          <w:bCs w:val="false"/>
          <w:sz w:val="24"/>
          <w:szCs w:val="24"/>
          <w:rtl/>
        </w:rPr>
        <w:t xml:space="preserve">שם הסטודנט/ית: ______________    ת"ז: ______________</w:t>
      </w:r>
    </w:p>
    <w:p>
      <w:pPr>
        <w:bidi/>
        <w:spacing w:after="120" w:before="120" w:line="360" w:lineRule="auto"/>
        <w:jc w:val="both"/>
      </w:pPr>
      <w:r>
        <w:rPr>
          <w:rFonts w:ascii="David" w:cs="David" w:hAnsi="David"/>
          <w:b/>
          <w:bCs/>
          <w:sz w:val="24"/>
          <w:szCs w:val="24"/>
          <w:u w:val="single"/>
          <w:rtl/>
        </w:rPr>
        <w:t xml:space="preserve">חלק א: יסודות</w:t>
      </w:r>
    </w:p>
    <w:p>
      <w:pPr>
        <w:bidi/>
        <w:spacing w:after="120" w:before="0" w:line="360" w:lineRule="auto"/>
        <w:jc w:val="both"/>
      </w:pPr>
      <w:r>
        <w:rPr>
          <w:rFonts w:ascii="David" w:cs="David" w:hAnsi="David"/>
          <w:b/>
          <w:bCs/>
          <w:sz w:val="24"/>
          <w:szCs w:val="24"/>
          <w:rtl/>
        </w:rPr>
        <w:t xml:space="preserve">1. </w:t>
      </w:r>
      <w:r>
        <w:rPr>
          <w:rFonts w:ascii="David" w:cs="David" w:hAnsi="David"/>
          <w:b w:val="false"/>
          <w:bCs w:val="false"/>
          <w:sz w:val="24"/>
          <w:szCs w:val="24"/>
          <w:rtl/>
        </w:rPr>
        <w:t xml:space="preserve">סעיף 336 לחוק העונשין קובע כי הגורם שלא כדין לכך שיופעל על אדם רעל או דבר מזיק אחר, בכוונה לפגוע בו או בזולתו או להרגיזם, דינו שלוש שנות מאסר; ואם סיכן בכך את חיי האדם או גרם לו חבלה חמורה, דינו ארבע עשרה שנות מאסר. ביסוד העובדתי (ס' 18) ההתנהגות היא גרימת הפעלתו של החומר על האדם, והנסיבות הן "שלא כדין", "על אדם" ו"רעל או דבר מזיק אחר". זוהי עבירה התנהגותית, שאינה מותנית בפגיעה בפועל. היסוד הנפשי הנדרש הוא מחשבה פלילית, ולצדה כוונה מיוחדת ("בכוונה לפגוע"), שאינה מתייחסת לתוצאה שביסוד העובדתי וניתן להוכיחה באמצעות הלכת הצפיות.</w:t>
      </w:r>
    </w:p>
    <w:p>
      <w:pPr>
        <w:bidi/>
        <w:spacing w:after="120" w:before="0" w:line="360" w:lineRule="auto"/>
        <w:jc w:val="both"/>
      </w:pPr>
      <w:r>
        <w:rPr>
          <w:rFonts w:ascii="David" w:cs="David" w:hAnsi="David"/>
          <w:b w:val="false"/>
          <w:bCs w:val="false"/>
          <w:sz w:val="24"/>
          <w:szCs w:val="24"/>
          <w:rtl/>
        </w:rPr>
        <w:t xml:space="preserve">שאלת מספר הנפגעים היא שאלה של פרשנות הנסיבה "אדם", הנבחנת בשלבי הפרשנות הנוהגים: היגיון מילולי, היגיון משפטי, ולבסוף הפירוש המקל (ס' 34כא). בלשון החוק "אדם" הוא כל בן אנוש חי, ואמת המידה לקיומה של אישיות עצמאית נעוצה במוח ובתודעה, כשם שמותו של אדם נקבע במות מוחו. לגל ולרן ראש נפרד ותודעה נפרדת. מכאן שלפנינו שני בני אדם החולקים מערכות גוף, ולא אדם אחד. הפרשנות התכליתית מוליכה לאותה תוצאה, שכן הערך המוגן בעבירה הוא שלמות גופו של כל פרט בעל תודעה, ומשאין לפנינו כמה פירושים סבירים אין נדרשים כלל לפירוש המקל.</w:t>
      </w:r>
    </w:p>
    <w:p>
      <w:pPr>
        <w:bidi/>
        <w:spacing w:after="200" w:before="0" w:line="360" w:lineRule="auto"/>
        <w:jc w:val="both"/>
      </w:pPr>
      <w:r>
        <w:rPr>
          <w:rFonts w:ascii="David" w:cs="David" w:hAnsi="David"/>
          <w:b w:val="false"/>
          <w:bCs w:val="false"/>
          <w:sz w:val="24"/>
          <w:szCs w:val="24"/>
          <w:rtl/>
        </w:rPr>
        <w:t xml:space="preserve">נמצא שהתנהגות אחת פגעה בשני נפגעים, כלומר ריבוי נפגעים ממעשה אחד. בעבירות שכנגד האדם נמנות העבירות לפי מספר הנפגעים, שכן כל נפגע מגלם ערך מוגן עצמאי, ולכן ניתן להטיל על שחר אחריות בגין שתי עבירות לפי ס' 336. העונש המירבי הוא שלוש שנות מאסר לכל עבירה, ובמצטבר שש שנים. יוכח כי שחר סיכן את חייהם או גרם להם חבלה חמורה, יעמוד העונש המירבי על ארבע עשרה שנות מאסר לכל נפגע, ובמצטבר על עשרים ושמונה שנים.</w:t>
      </w:r>
    </w:p>
    <w:p>
      <w:pPr>
        <w:bidi/>
        <w:spacing w:after="120" w:before="0" w:line="360" w:lineRule="auto"/>
        <w:jc w:val="both"/>
      </w:pPr>
      <w:r>
        <w:rPr>
          <w:rFonts w:ascii="David" w:cs="David" w:hAnsi="David"/>
          <w:b/>
          <w:bCs/>
          <w:sz w:val="24"/>
          <w:szCs w:val="24"/>
          <w:rtl/>
        </w:rPr>
        <w:t xml:space="preserve">2. </w:t>
      </w:r>
      <w:r>
        <w:rPr>
          <w:rFonts w:ascii="David" w:cs="David" w:hAnsi="David"/>
          <w:b w:val="false"/>
          <w:bCs w:val="false"/>
          <w:sz w:val="24"/>
          <w:szCs w:val="24"/>
          <w:rtl/>
        </w:rPr>
        <w:t xml:space="preserve">עבירות ההמתה הן עבירות תוצאתיות: התנהגות (כל מעשה), נסיבה ("אדם") ותוצאה ("מותו"), בצירוף קשר סיבתי עובדתי. הקשר מתקיים כאן, שכן אלמלא הפעלת החומר לא היו התאומים נפטרים כפי שנפטרו. משנפטרו שניים, מדובר בשתי עבירות המתה.</w:t>
      </w:r>
    </w:p>
    <w:p>
      <w:pPr>
        <w:bidi/>
        <w:spacing w:after="120" w:before="0" w:line="360" w:lineRule="auto"/>
        <w:jc w:val="both"/>
      </w:pPr>
      <w:r>
        <w:rPr>
          <w:rFonts w:ascii="David" w:cs="David" w:hAnsi="David"/>
          <w:b w:val="false"/>
          <w:bCs w:val="false"/>
          <w:sz w:val="24"/>
          <w:szCs w:val="24"/>
          <w:rtl/>
        </w:rPr>
        <w:t xml:space="preserve">סעיף 301ג קובע כי הגורם למותו של אדם בקלות דעת דינו שתים עשרה שנות מאסר. להרשעה נדרשות מודעות להתנהגות ולנסיבות, מודעות לאפשרות גרימת המוות, וקלות דעת, דהיינו נטילת סיכון בלתי סביר מתוך תקווה שהמוות לא ייגרם. שחר התכוון לפגוע, לא להמית, ולכן קלות דעת מתיישבת עם נתוניו. את המודעות לאפשרות גרימת המוות ניתן להוכיח בחזקת המודעות, חזקה עובדתית הניתנת לסתירה, שלפיה אדם מודע לתוצאות הטבעיות של התנהגותו; הפעלת חומר מזיק על גוף האדם עלולה להמית בהתפתחות טבעית ומדורגת. בהתקיים כל אלה ניתן להרשיע את שחר בשתי עבירות של המתה בקלות דעת.</w:t>
      </w:r>
    </w:p>
    <w:p>
      <w:pPr>
        <w:bidi/>
        <w:spacing w:after="200" w:before="0" w:line="360" w:lineRule="auto"/>
        <w:jc w:val="both"/>
      </w:pPr>
      <w:r>
        <w:rPr>
          <w:rFonts w:ascii="David" w:cs="David" w:hAnsi="David"/>
          <w:b w:val="false"/>
          <w:bCs w:val="false"/>
          <w:sz w:val="24"/>
          <w:szCs w:val="24"/>
          <w:rtl/>
        </w:rPr>
        <w:t xml:space="preserve">שונה הדין בעבירת הרצח. סעיף 300(א) קובע כי הגורם בכוונה או באדישות למותו של אדם דינו מאסר עולם, ונדרש אפוא יסוד נפשי של כוונה או של אדישות ביחס לתוצאת המוות דווקא. כוונתו של שחר הוכחה ביחס לפגיעה בלבד. כוונה להמית ניתן להשלים בחזקת כלל הצפיות (ס' 20(ב)) רק אם צפה את גרימת המוות כאפשרות קרובה לוודאי, ונתון כזה אינו בנמצא; אדישות טעונה הוכחה אף היא. על הנתונים כמות שהם לא ניתן אפוא להרשיע ברצח. יוכח כי צפה את המוות ברמה קרובה לוודאי, או כי היה שווה נפש כלפי התרחשותו, יורשע בשתי עבירות רצח; ולפי עקרון המינימום, הוכחת רמת רצון גבוהה כוללת ממילא את הרמות שמתחתיה.</w:t>
      </w:r>
    </w:p>
    <w:p>
      <w:pPr>
        <w:bidi/>
        <w:spacing w:after="120" w:before="0" w:line="360" w:lineRule="auto"/>
        <w:jc w:val="both"/>
      </w:pPr>
      <w:r>
        <w:rPr>
          <w:rFonts w:ascii="David" w:cs="David" w:hAnsi="David"/>
          <w:b/>
          <w:bCs/>
          <w:sz w:val="24"/>
          <w:szCs w:val="24"/>
          <w:rtl/>
        </w:rPr>
        <w:t xml:space="preserve">3. </w:t>
      </w:r>
      <w:r>
        <w:rPr>
          <w:rFonts w:ascii="David" w:cs="David" w:hAnsi="David"/>
          <w:b w:val="false"/>
          <w:bCs w:val="false"/>
          <w:sz w:val="24"/>
          <w:szCs w:val="24"/>
          <w:rtl/>
        </w:rPr>
        <w:t xml:space="preserve">הבעיה שעליה הצביע בית המשפט המחוזי בעניין פלדשטיין, בהיבט הדין המהותי, היא היעדר מדרג בעבירת הריגול החמור: ס' 113(ב) אינו מבחין בין מרגל הפועל נגד המדינה ובין מדליף. היסוד היחיד המפריד בין העבירה הבסיסית של מסירת ידיעה סודית ללא הסמכה (ס' 113(א), שעונשה חמש עשרה שנות מאסר) ובין העבירה שעונשה מאסר עולם הוא הכוונה המיוחדת "בכוונה לפגוע בביטחון המדינה". בעניינו של פלדשטיין התעורר קושי ראייתי ממשי בייחוס כוונה כזו, שכן תכלית מעשיו הייתה השפעה על דעת הקהל. התביעה נדרשת אפוא להיבנות מהלכת הצפיות, החלה על כוונה מיוחדת מסוג מטרה, להבדיל ממניע, ובכוחה להשלים את הכוונה כל אימת שהמוסר צפה ברמה קרובה לוודאי פגיעה בביטחון המדינה. כך נלכד גם מדליף שמניעיו אחרים לגמרי ברשתה של עבירה חמורה שנועדה למרגלים.</w:t>
      </w:r>
    </w:p>
    <w:p>
      <w:pPr>
        <w:bidi/>
        <w:spacing w:after="200" w:before="0" w:line="360" w:lineRule="auto"/>
        <w:jc w:val="both"/>
      </w:pPr>
      <w:r>
        <w:rPr>
          <w:rFonts w:ascii="David" w:cs="David" w:hAnsi="David"/>
          <w:b w:val="false"/>
          <w:bCs w:val="false"/>
          <w:sz w:val="24"/>
          <w:szCs w:val="24"/>
          <w:rtl/>
        </w:rPr>
        <w:t xml:space="preserve">הנוסח המוצע אינו פותר את הבעיה. הוא מחריף אותה. בנוסח המוצע נמחקת דרישת הכוונה המיוחדת כליל, ובמקומה באה נסיבה עובדתית ("שיש בה כדי לפגוע בבטחון המדינה"). העבירה הופכת עבירה התנהגותית "שותקת", שהיסוד הנפשי הנדרש בה הוא מחשבה פלילית בלבד, כלומר מודעות להתנהגות ולנסיבות (ס' 19 וס' 20), הניתנת להוכחה אף בחזקת העיוורון המכוון. משמעות הדבר היא שכל מוסר ידיעה סודית בעלת פוטנציאל פגיעה היה צפוי למאסר עולם, גם בהיעדר כל מטרה עוינת. ההשוואה בין המדליף למרגל אינה נפתרת אלא מתרחבת. הנוסח המוצע אמנם מייתר את השימוש בהלכת הצפיות, אך רק משום שהוא מוותר על דרישת הכוונה מכל וכל.</w:t>
      </w:r>
    </w:p>
    <w:p>
      <w:pPr>
        <w:bidi/>
        <w:spacing w:after="120" w:before="120" w:line="360" w:lineRule="auto"/>
        <w:jc w:val="both"/>
      </w:pPr>
      <w:r>
        <w:rPr>
          <w:rFonts w:ascii="David" w:cs="David" w:hAnsi="David"/>
          <w:b/>
          <w:bCs/>
          <w:sz w:val="24"/>
          <w:szCs w:val="24"/>
          <w:u w:val="single"/>
          <w:rtl/>
        </w:rPr>
        <w:t xml:space="preserve">חלק ב: פונקציות</w:t>
      </w:r>
    </w:p>
    <w:p>
      <w:pPr>
        <w:bidi/>
        <w:spacing w:after="120" w:before="0" w:line="360" w:lineRule="auto"/>
        <w:jc w:val="both"/>
      </w:pPr>
      <w:r>
        <w:rPr>
          <w:rFonts w:ascii="David" w:cs="David" w:hAnsi="David"/>
          <w:b/>
          <w:bCs/>
          <w:sz w:val="24"/>
          <w:szCs w:val="24"/>
          <w:rtl/>
        </w:rPr>
        <w:t xml:space="preserve">(1) </w:t>
      </w:r>
      <w:r>
        <w:rPr>
          <w:rFonts w:ascii="David" w:cs="David" w:hAnsi="David"/>
          <w:b w:val="false"/>
          <w:bCs w:val="false"/>
          <w:sz w:val="24"/>
          <w:szCs w:val="24"/>
          <w:rtl/>
        </w:rPr>
        <w:t xml:space="preserve">אבישי גרם למות הפועל במשיכתו אל נתיב החפץ, ומתקיים בו היסוד העובדתי המלא של עבירת המתה, לרבות הקשר הסיבתי העובדתי. הסייג הרלוונטי הוא הצורך (ס' 34יא) ולא ההגנה העצמית (ס' 34י), שכן הסכנה לא נבעה מתקיפה שלא כדין מצד הפועל אלא ממצב דברים נתון בשעת המעשה, חפץ מתכת מתעופף, והמעשה נעשה כלפי אדם תמים. תנאי ההגדרה מתקיימים לכאורה: סכנה מוחשית ומיידית לחיים, מעשה שהיה דרוש באופן מיידי להצלתם, ותנאי הבלעדיות ("לא הייתה לו דרך אחרת אלא לעשותו"), שנמצא מתקיים עובדתית בבדיקת הזירה. במאזן של חיים מול חיים אף אין לומר שהמעשה חרג בעליל מגדר הסביר (ס' 34טז).</w:t>
      </w:r>
    </w:p>
    <w:p>
      <w:pPr>
        <w:bidi/>
        <w:spacing w:after="200" w:before="0" w:line="360" w:lineRule="auto"/>
        <w:jc w:val="both"/>
      </w:pPr>
      <w:r>
        <w:rPr>
          <w:rFonts w:ascii="David" w:cs="David" w:hAnsi="David"/>
          <w:b w:val="false"/>
          <w:bCs w:val="false"/>
          <w:sz w:val="24"/>
          <w:szCs w:val="24"/>
          <w:rtl/>
        </w:rPr>
        <w:t xml:space="preserve">אלא שכאן פועלת פונקציית שעתוק האשם שבס' 34יד, שעניינה כניסה למצב בהתנהגות פסולה. אבישי העמיד את עצמו במצב בהתנהגות נשלטת ופסולה: הוא נכנס לאתר הבנייה באיסור, חרף שלט שקרא במו עיניו והמתרה "סכנת חיים". טענתו כי סבר שמדובר בשלט סטנדרטי אינה מועילה לו, שכן די בחלופה האובייקטיבית שבסעיף: אדם מן היישוב במקומו יכול היה להיות מודע, לפני היווצרות המצב, לסכנה שעליה התרה השלט במפורש ולכך שבאזור של סכנת חיים הוא עלול להידרש למעשה על חשבון זולתו. המעשה נעשה להצלת עצמו ולא להצלת אינטרס הזולת, ולכן הסיפא של ס' 34יד(א) אינה עומדת לו וסייג הצורך נשלל. את תוצאת השעתוק קובע ס' 34יד(ב): בעבירה המותנית בתוצאה רואים את העושה כמי שעשה את מעשהו באדישות, והמתה באדישות היא רצח לפי ס' 300(א). אבישי יישא אפוא באחריות בעבירת רצח שעונשה מאסר עולם, אף שבשעת האירוע עצמו פעל בתנאי צורך.</w:t>
      </w:r>
    </w:p>
    <w:p>
      <w:pPr>
        <w:bidi/>
        <w:spacing w:after="200" w:before="0" w:line="360" w:lineRule="auto"/>
        <w:jc w:val="both"/>
      </w:pPr>
      <w:r>
        <w:rPr>
          <w:rFonts w:ascii="David" w:cs="David" w:hAnsi="David"/>
          <w:b/>
          <w:bCs/>
          <w:sz w:val="24"/>
          <w:szCs w:val="24"/>
          <w:rtl/>
        </w:rPr>
        <w:t xml:space="preserve">(2) </w:t>
      </w:r>
      <w:r>
        <w:rPr>
          <w:rFonts w:ascii="David" w:cs="David" w:hAnsi="David"/>
          <w:b w:val="false"/>
          <w:bCs w:val="false"/>
          <w:sz w:val="24"/>
          <w:szCs w:val="24"/>
          <w:rtl/>
        </w:rPr>
        <w:t xml:space="preserve">בגרסה זו משתנים שני נתונים: הסכנה מאיימת על הבן, והמעשה נעשה להצלתו. ראשית, על אבישי מוטלת חובת ההורה שבס' 323, לדאוג לשלום בנו הקטין ולמנוע חבלה בגופו או פגיעה אחרת בשלומו. מעשהו נעשה אפוא לקיום חובה שבדין; אילו נמנע מלפעול, אפשר שהיה נושא באחריות במחדל לתוצאות שהיו נגרמות לבן, שכן רואים את ההורה כמי שגרם לתוצאות שבאו על הקטין מחמת שלא קיים את חובתו. שנית, והוא העיקר: הסיפא של ס' 34יד(א) מחריגה מתחולת הכלל מעשה שעניינו הצלת אינטרס הזולת. משפעל אבישי להצלת בנו, כניסתו הפסולה לאתר אינה שוללת ממנו את סייג הצורך ואין מתבצע שעתוק אשם. תנאי ס' 34יא מתקיימים כאמור, ולפיכך אבישי אינו נושא באחריות פלילית כלשהי למות הפועל. התשובה מתהפכת מן הקצה אל הקצה: מאחריות בעבירת רצח לפטור מלא מכוח הסייג.</w:t>
      </w:r>
    </w:p>
    <w:p>
      <w:pPr>
        <w:bidi/>
        <w:spacing w:after="120" w:before="120" w:line="360" w:lineRule="auto"/>
        <w:jc w:val="both"/>
      </w:pPr>
      <w:r>
        <w:rPr>
          <w:rFonts w:ascii="David" w:cs="David" w:hAnsi="David"/>
          <w:b/>
          <w:bCs/>
          <w:sz w:val="24"/>
          <w:szCs w:val="24"/>
          <w:u w:val="single"/>
          <w:rtl/>
        </w:rPr>
        <w:t xml:space="preserve">חלק ג: נגזרות והקרנות (1)</w:t>
      </w:r>
    </w:p>
    <w:p>
      <w:pPr>
        <w:bidi/>
        <w:spacing w:after="120" w:before="0" w:line="360" w:lineRule="auto"/>
        <w:jc w:val="both"/>
      </w:pPr>
      <w:r>
        <w:rPr>
          <w:rFonts w:ascii="David" w:cs="David" w:hAnsi="David"/>
          <w:b/>
          <w:bCs/>
          <w:sz w:val="24"/>
          <w:szCs w:val="24"/>
          <w:rtl/>
        </w:rPr>
        <w:t xml:space="preserve">(1) </w:t>
      </w:r>
      <w:r>
        <w:rPr>
          <w:rFonts w:ascii="David" w:cs="David" w:hAnsi="David"/>
          <w:b w:val="false"/>
          <w:bCs w:val="false"/>
          <w:sz w:val="24"/>
          <w:szCs w:val="24"/>
          <w:rtl/>
        </w:rPr>
        <w:t xml:space="preserve">דין הטענה להידחות. ס' 423 הוא אכן עבירת "עושה מיוחד" ("מייסד, מנהל, חבר או פקיד של תאגיד"), וזהו נתון ענייני, תנאי מתנאי התהוות העבירה. אלא שעמוס ועמירם קיבלו את ההחלטה יחדיו: עמוס הציע תכנית הכוללת חלוקת תפקידים, עמירם ירשום את הפרט הכוזב וישלחו ועמוס ישלבו בדו"ח השנתי לרשויות המס, ועמירם קיבל את ההצעה. זוהי קשירת קשר כדין כריתת חוזה, ולפי מבחן התכנון המוקדם שניהם מבצעים בצוותא (ס' 29(ב); ע"פ 2247/10 ימיני נ' מדינת ישראל). ס' 34ב וס' 29(ד) קובעים שנתון ענייני המתקיים באחד מן המבצעים בצוותא מתקיים לגבי כולם, ודי בכך שהכשירות המיוחדת מצויה בעמירם, מנכ"ל "נכסי אביב בע"מ". עמוס יישא אפוא באחריות מלאה כמבצע בצוותא של העבירה, אף שאין לו תפקיד בתאגיד.</w:t>
      </w:r>
    </w:p>
    <w:p>
      <w:pPr>
        <w:bidi/>
        <w:spacing w:after="120" w:before="0" w:line="360" w:lineRule="auto"/>
        <w:jc w:val="both"/>
      </w:pPr>
      <w:r>
        <w:rPr>
          <w:rFonts w:ascii="David" w:cs="David" w:hAnsi="David"/>
          <w:b/>
          <w:bCs/>
          <w:sz w:val="24"/>
          <w:szCs w:val="24"/>
          <w:rtl/>
        </w:rPr>
        <w:t xml:space="preserve">(2) </w:t>
      </w:r>
      <w:r>
        <w:rPr>
          <w:rFonts w:ascii="David" w:cs="David" w:hAnsi="David"/>
          <w:b w:val="false"/>
          <w:bCs w:val="false"/>
          <w:sz w:val="24"/>
          <w:szCs w:val="24"/>
          <w:rtl/>
        </w:rPr>
        <w:t xml:space="preserve">דין הטענה להידחות. אחריות תאגיד לעבירת מעשה נקבעת במודל הזהות שבס' 23(א)(2): נבחן אם העושה הוא נושא משרה רלוונטי במבחן התפקודי, כלומר אם יש לראות את מעשהו, בנסיבות העניין, כמעשה התאגיד. עמוס פעל בגדרי תפקידו כיועץ מס בחברה, בפגישה שקיים מטעמה עם לקוח. הוא נושא משרה רלוונטי מובהק, ויסודותיו העובדתיים והנפשיים מוקרנים על התאגיד. הנחיה כללית שלא לעבור עבירות אינה מנתקת את הזהות, שכן חריגת העובד מהנחיות הממונים אינה פוטרת את התאגיד מאחריות פלילית (השוו רע"פ 8487/11 חברת נמלי ישראל נ' מדינת ישראל). חברת "יועצי מס בע"מ" תישא אפוא באחריות לעבירה.</w:t>
      </w:r>
    </w:p>
    <w:p>
      <w:pPr>
        <w:bidi/>
        <w:spacing w:after="120" w:before="0" w:line="360" w:lineRule="auto"/>
        <w:jc w:val="both"/>
      </w:pPr>
      <w:r>
        <w:rPr>
          <w:rFonts w:ascii="David" w:cs="David" w:hAnsi="David"/>
          <w:b/>
          <w:bCs/>
          <w:sz w:val="24"/>
          <w:szCs w:val="24"/>
          <w:rtl/>
        </w:rPr>
        <w:t xml:space="preserve">(3) </w:t>
      </w:r>
      <w:r>
        <w:rPr>
          <w:rFonts w:ascii="David" w:cs="David" w:hAnsi="David"/>
          <w:b w:val="false"/>
          <w:bCs w:val="false"/>
          <w:sz w:val="24"/>
          <w:szCs w:val="24"/>
          <w:rtl/>
        </w:rPr>
        <w:t xml:space="preserve">דין הטענה להתקבל. האחריות הפלילית היא אישית. להרשעת אביחי נדרשים יסוד עובדתי ויסוד נפשי משלו, או מעמד של צד לעבירה, ואין בו דבר מאלה: הוא לא קיבל החלטה, לא ידע דבר, לא תרם לביצוע, ואף הנחה את העובדים במפורש שלא לעבור עבירות. מודל הזהות מקרין מנושא המשרה אל התאגיד, לא מן התאגיד אל נושאי משרה אחרים בו, ובס' 423 אין עבירת אחריות ממונים. אביחי פטור מאחריות.</w:t>
      </w:r>
    </w:p>
    <w:p>
      <w:pPr>
        <w:bidi/>
        <w:spacing w:after="200" w:before="0" w:line="360" w:lineRule="auto"/>
        <w:jc w:val="both"/>
      </w:pPr>
      <w:r>
        <w:rPr>
          <w:rFonts w:ascii="David" w:cs="David" w:hAnsi="David"/>
          <w:b/>
          <w:bCs/>
          <w:sz w:val="24"/>
          <w:szCs w:val="24"/>
          <w:rtl/>
        </w:rPr>
        <w:t xml:space="preserve">(4) </w:t>
      </w:r>
      <w:r>
        <w:rPr>
          <w:rFonts w:ascii="David" w:cs="David" w:hAnsi="David"/>
          <w:b w:val="false"/>
          <w:bCs w:val="false"/>
          <w:sz w:val="24"/>
          <w:szCs w:val="24"/>
          <w:rtl/>
        </w:rPr>
        <w:t xml:space="preserve">דין הטענה להידחות. תאגיד רשאי עקרונית להעלות כל סייג, לרבות סייגי הצורך המוכלל, אך תנאי ס' 34יא אינם מתקיימים כאן. קשיים כלכליים, חמורים ככל שיהיו, אינם סכנה מוחשית של פגיעה חמורה הנובעת ממצב דברים נתון בשעת המעשה, ודרישת המיידיות אינה מתקיימת. בעיקר נשמט תנאי הבלעדיות: עמדו לחברה דרכים חלופיות כדין, ובהן הסדר נושים או הליכי הבראה, ומשקיימת דרך אחרת אין צורך. מעשה מרמה כלפי רשויות המס אף חורג בעליל מגדר הסביר (ס' 34טז). אין הנדון דומה למצבי כורח (ס' 34יב) שבהם התקבלה בפסיקה טענת תאגיד שנכנע לאיום חיצוני: על "נכסי אביב" לא הופעל כל איום, והיא בחרה בדרך המרמה מבין כמה דרכים אפשריות. החברה תישא באחריות במודל הזהות: עמירם, מנכ"ל החברה, הוא נושא משרה רלוונטי שמעשהו מעשה החברה (ס' 23(א)(2)).</w:t>
      </w:r>
    </w:p>
    <w:p>
      <w:pPr>
        <w:bidi/>
        <w:spacing w:after="120" w:before="120" w:line="360" w:lineRule="auto"/>
        <w:jc w:val="both"/>
      </w:pPr>
      <w:r>
        <w:rPr>
          <w:rFonts w:ascii="David" w:cs="David" w:hAnsi="David"/>
          <w:b/>
          <w:bCs/>
          <w:sz w:val="24"/>
          <w:szCs w:val="24"/>
          <w:u w:val="single"/>
          <w:rtl/>
        </w:rPr>
        <w:t xml:space="preserve">חלק ד: נגזרות והקרנות (2)</w:t>
      </w:r>
    </w:p>
    <w:p>
      <w:pPr>
        <w:bidi/>
        <w:spacing w:after="120" w:before="0" w:line="360" w:lineRule="auto"/>
        <w:jc w:val="both"/>
      </w:pPr>
      <w:r>
        <w:rPr>
          <w:rFonts w:ascii="David" w:cs="David" w:hAnsi="David"/>
          <w:b w:val="false"/>
          <w:bCs w:val="false"/>
          <w:sz w:val="24"/>
          <w:szCs w:val="24"/>
          <w:rtl/>
        </w:rPr>
        <w:t xml:space="preserve">העבירה המקורית: אוהד ודלית, בעקבות שידולו של יונתן, קשרו קשר להתפרץ לאגף ולגנוב את מגן ההוקרה, והם מבצעים בצוותא (ס' 29(ב)); יונתן משדל (ס' 30). עבירות הסטייה, שבירת החותם ותקיפת השוטר, נבחנות במסגרת האחריות הנגררת המסתברת שבס' 34א, החלה מקום שבו עבר מבצע, אגב עשיית העבירה, עבירה שונה ממנה או נוספת לה, כאשר בנסיבות העניין אדם מן היישוב יכול היה להיות מודע לאפשרות עשייתה.</w:t>
      </w:r>
    </w:p>
    <w:p>
      <w:pPr>
        <w:bidi/>
        <w:spacing w:after="120" w:before="0" w:line="360" w:lineRule="auto"/>
        <w:jc w:val="both"/>
      </w:pPr>
      <w:r>
        <w:rPr>
          <w:rFonts w:ascii="David" w:cs="David" w:hAnsi="David"/>
          <w:b/>
          <w:bCs/>
          <w:sz w:val="24"/>
          <w:szCs w:val="24"/>
          <w:rtl/>
        </w:rPr>
        <w:t xml:space="preserve">(1) </w:t>
      </w:r>
      <w:r>
        <w:rPr>
          <w:rFonts w:ascii="David" w:cs="David" w:hAnsi="David"/>
          <w:b w:val="false"/>
          <w:bCs w:val="false"/>
          <w:sz w:val="24"/>
          <w:szCs w:val="24"/>
          <w:rtl/>
        </w:rPr>
        <w:t xml:space="preserve">אחריות אוהד לתקיפת השוטר. דלית היא "מבצע" (ס' 29). התקיפה בוצעה בשלב המילוט, שהוא חלק בלתי נפרד מן האירוע העברייני ונועד להבטיח את השלמת הביצוע וההימלטות, ולכן נעברה "אגב עשיית העבירה" (השוו ע"פ 204/10 עבדל קאדר נ' מדינת ישראל). זוהי עבירה נוספת, ואדם מן היישוב יכול היה להיות מודע לאפשרות שבמהלך התפרצות ומילוט ייתקלו השותפים בשוטר ותופעל נגדו אלימות. משהתקיימו ארבעת התנאים חלה הסיפא של ס' 34א(א)(1). תקיפת שוטר (ס' 273) היא עבירה התנהגותית של מחשבה פלילית ולא עבירת תוצאה שנעברה בכוונה, ולכן האחריות נותרת כמות שהיא: אוהד יישא באחריות מלאה לעבירה לפי ס' 273.</w:t>
      </w:r>
    </w:p>
    <w:p>
      <w:pPr>
        <w:bidi/>
        <w:spacing w:after="120" w:before="0" w:line="360" w:lineRule="auto"/>
        <w:jc w:val="both"/>
      </w:pPr>
      <w:r>
        <w:rPr>
          <w:rFonts w:ascii="David" w:cs="David" w:hAnsi="David"/>
          <w:b/>
          <w:bCs/>
          <w:sz w:val="24"/>
          <w:szCs w:val="24"/>
          <w:rtl/>
        </w:rPr>
        <w:t xml:space="preserve">(2) </w:t>
      </w:r>
      <w:r>
        <w:rPr>
          <w:rFonts w:ascii="David" w:cs="David" w:hAnsi="David"/>
          <w:b w:val="false"/>
          <w:bCs w:val="false"/>
          <w:sz w:val="24"/>
          <w:szCs w:val="24"/>
          <w:rtl/>
        </w:rPr>
        <w:t xml:space="preserve">אחריות דלית לשבירת החותם. בס' 265 עד 266 קבועות שלוש עבירות: שבירת חותם רשמי במזיד, נטילת דבר הנתון תחת חותם, והזנחת שמירתם בידי עובד הציבור המופקד עליהם, עבירה המתהווה גם ברשלנות. אוהד שבר את החותם במזיד (ס' 265) ויישא באחריות ישירה לפי היסודות. אשר לדלית, התנאי "עבר מבצע" מתקיים, אך התנאי "אגב עשיית העבירה" מוקשה: השבירה לא שירתה את הגניבה, את אבטחתה או את המילוט, ומקורה במניע אישי של אוהד, הטורח שתפקיד שמירת החותם מסב לו. אין קשר ענייני בין ההחלטה המקורית להחלטה האחרת. למצער, אדם מן היישוב במקומה של דלית לא יכול היה להיות מודע לאפשרות ששותפה ישבור דווקא את החותם הרשמי, מעשה זר לתכנית ונטול כל תועלת לה. משנשמט תנאי מן התנאים המצטברים אין אחריות נגררת, ודלית אינה נושאת באחריות לשבירת החותם. באחריות לעבירה המקורית היא נושאת, כמובן, במלואה.</w:t>
      </w:r>
    </w:p>
    <w:p>
      <w:pPr>
        <w:bidi/>
        <w:spacing w:after="120" w:before="0" w:line="360" w:lineRule="auto"/>
        <w:jc w:val="both"/>
      </w:pPr>
      <w:r>
        <w:rPr>
          <w:rFonts w:ascii="David" w:cs="David" w:hAnsi="David"/>
          <w:b/>
          <w:bCs/>
          <w:sz w:val="24"/>
          <w:szCs w:val="24"/>
          <w:rtl/>
        </w:rPr>
        <w:t xml:space="preserve">(3) </w:t>
      </w:r>
      <w:r>
        <w:rPr>
          <w:rFonts w:ascii="David" w:cs="David" w:hAnsi="David"/>
          <w:b w:val="false"/>
          <w:bCs w:val="false"/>
          <w:sz w:val="24"/>
          <w:szCs w:val="24"/>
          <w:rtl/>
        </w:rPr>
        <w:t xml:space="preserve">אחריות יונתן. כמשדל הוא נושא באחריות לשידול לעבירה המקורית (ס' 30). ביחס לעבירות הסטייה חל ס' 34א(א)(2), שלפיו משדל או מסייע יישא באחריות לעבירה השונה או הנוספת כעבירה של רשלנות, ובלבד שקיימת עבירה כזו. לתקיפת שוטר אין בדין עבירת רשלנות מקבילה, ולכן אין אחריות. הוא הדין בשבירת החותם: עבירת רשלנות של שבירת חותם אינה קיימת, והעבירה היחידה בסימן זה שיסודה הנפשי רשלנות, הזנחת השמירה שבס' 266, מיוחדת לעובד הציבור המופקד על החותם ועניינה מחדל שמירה, ויונתן אינו בא בגדריה. אחריותו של יונתן מתמצית אפוא בשידול להתפרצות ולגניבה. אילו הוכח שהיה צד לקשירת הקשר ושותף לחלוקת השלל, היה מוגדר מבצע בצוותא ואחריותו לעבירות הסטייה הייתה נבחנת לפי ס' 34א(א)(1).</w:t>
      </w:r>
    </w:p>
    <w:p>
      <w:pPr>
        <w:bidi/>
        <w:spacing w:after="240" w:line="360" w:lineRule="auto"/>
        <w:jc w:val="center"/>
      </w:pPr>
      <w:r>
        <w:br w:type="page"/>
      </w:r>
      <w:r>
        <w:rPr>
          <w:rFonts w:ascii="David" w:cs="David" w:hAnsi="David"/>
          <w:b/>
          <w:bCs/>
          <w:sz w:val="24"/>
          <w:szCs w:val="24"/>
          <w:u w:val="single"/>
          <w:rtl/>
        </w:rPr>
        <w:t xml:space="preserve">רשימת מקורות</w:t>
      </w:r>
    </w:p>
    <w:p>
      <w:pPr>
        <w:bidi/>
        <w:spacing w:after="120" w:before="0" w:line="360" w:lineRule="auto"/>
        <w:jc w:val="both"/>
      </w:pPr>
      <w:r>
        <w:rPr>
          <w:rFonts w:ascii="David" w:cs="David" w:hAnsi="David"/>
          <w:b/>
          <w:bCs/>
          <w:sz w:val="24"/>
          <w:szCs w:val="24"/>
          <w:rtl/>
        </w:rPr>
        <w:t xml:space="preserve">חקיקה</w:t>
      </w:r>
    </w:p>
    <w:p>
      <w:pPr>
        <w:bidi/>
        <w:spacing w:after="200" w:before="0" w:line="360" w:lineRule="auto"/>
        <w:jc w:val="both"/>
      </w:pPr>
      <w:r>
        <w:rPr>
          <w:rFonts w:ascii="David" w:cs="David" w:hAnsi="David"/>
          <w:b w:val="false"/>
          <w:bCs w:val="false"/>
          <w:sz w:val="24"/>
          <w:szCs w:val="24"/>
          <w:rtl/>
        </w:rPr>
        <w:t xml:space="preserve">חוק העונשין, התשל"ז 1977.</w:t>
      </w:r>
    </w:p>
    <w:p>
      <w:pPr>
        <w:bidi/>
        <w:spacing w:after="120" w:before="0" w:line="360" w:lineRule="auto"/>
        <w:jc w:val="both"/>
      </w:pPr>
      <w:r>
        <w:rPr>
          <w:rFonts w:ascii="David" w:cs="David" w:hAnsi="David"/>
          <w:b/>
          <w:bCs/>
          <w:sz w:val="24"/>
          <w:szCs w:val="24"/>
          <w:rtl/>
        </w:rPr>
        <w:t xml:space="preserve">פסיקה</w:t>
      </w:r>
    </w:p>
    <w:p>
      <w:pPr>
        <w:bidi/>
        <w:spacing w:after="120" w:before="0" w:line="360" w:lineRule="auto"/>
        <w:jc w:val="both"/>
      </w:pPr>
      <w:r>
        <w:rPr>
          <w:rFonts w:ascii="David" w:cs="David" w:hAnsi="David"/>
          <w:b w:val="false"/>
          <w:bCs w:val="false"/>
          <w:sz w:val="24"/>
          <w:szCs w:val="24"/>
          <w:rtl/>
        </w:rPr>
        <w:t xml:space="preserve">ע"פ 2247/10 ימיני נ' מדינת ישראל (12.1.2011).</w:t>
      </w:r>
    </w:p>
    <w:p>
      <w:pPr>
        <w:bidi/>
        <w:spacing w:after="120" w:before="0" w:line="360" w:lineRule="auto"/>
        <w:jc w:val="both"/>
      </w:pPr>
      <w:r>
        <w:rPr>
          <w:rFonts w:ascii="David" w:cs="David" w:hAnsi="David"/>
          <w:b w:val="false"/>
          <w:bCs w:val="false"/>
          <w:sz w:val="24"/>
          <w:szCs w:val="24"/>
          <w:rtl/>
        </w:rPr>
        <w:t xml:space="preserve">ע"פ 204/10 עבדל קאדר נ' מדינת ישראל (25.7.2011).</w:t>
      </w:r>
    </w:p>
    <w:p>
      <w:pPr>
        <w:bidi/>
        <w:spacing w:after="120" w:before="0" w:line="360" w:lineRule="auto"/>
        <w:jc w:val="both"/>
      </w:pPr>
      <w:r>
        <w:rPr>
          <w:rFonts w:ascii="David" w:cs="David" w:hAnsi="David"/>
          <w:b w:val="false"/>
          <w:bCs w:val="false"/>
          <w:sz w:val="24"/>
          <w:szCs w:val="24"/>
          <w:rtl/>
        </w:rPr>
        <w:t xml:space="preserve">רע"פ 8487/11 חברת נמלי ישראל, פיתוח ונכסים בע"מ נ' מדינת ישראל (23.10.2012).</w:t>
      </w:r>
    </w:p>
    <w:p>
      <w:pPr>
        <w:bidi/>
        <w:spacing w:after="120" w:before="0" w:line="360" w:lineRule="auto"/>
        <w:jc w:val="both"/>
      </w:pPr>
      <w:r>
        <w:rPr>
          <w:rFonts w:ascii="David" w:cs="David" w:hAnsi="David"/>
          <w:b w:val="false"/>
          <w:bCs w:val="false"/>
          <w:sz w:val="24"/>
          <w:szCs w:val="24"/>
          <w:rtl/>
        </w:rPr>
        <w:t xml:space="preserve">מ"ת 54265-11-24 מדינת ישראל נ' פלדשטיין (3.12.2024).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2026-08-17T07:09:21.461Z</dcterms:created>
  <dcterms:modified xsi:type="dcterms:W3CDTF">2026-08-17T07:09:21.461Z</dcterms:modified>
</cp:coreProperties>
</file>

<file path=docProps/custom.xml><?xml version="1.0" encoding="utf-8"?>
<Properties xmlns="http://schemas.openxmlformats.org/officeDocument/2006/custom-properties" xmlns:vt="http://schemas.openxmlformats.org/officeDocument/2006/docPropsVTypes"/>
</file>