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400"/>
        <w:jc w:val="center"/>
      </w:pPr>
      <w:r>
        <w:rPr>
          <w:rFonts w:ascii="David" w:cs="David" w:eastAsia="David" w:hAnsi="David"/>
          <w:b/>
          <w:bCs/>
          <w:sz w:val="32"/>
          <w:szCs w:val="32"/>
          <w:rtl/>
        </w:rPr>
        <w:t xml:space="preserve">רשימת מאמרים שפיטים לעבודת הסמינריון</w:t>
      </w:r>
    </w:p>
    <w:p>
      <w:pPr>
        <w:bidi/>
        <w:spacing w:after="400"/>
        <w:jc w:val="center"/>
      </w:pPr>
      <w:r>
        <w:rPr>
          <w:rFonts w:ascii="David" w:cs="David" w:eastAsia="David" w:hAnsi="David"/>
          <w:sz w:val="26"/>
          <w:szCs w:val="26"/>
          <w:rtl/>
        </w:rPr>
        <w:t xml:space="preserve">דרכי התמודדות עם קשיים, יחסי אב–בן, אשמה וחרטה בסיפוריו הקצרים של אתגר קרת</w:t>
      </w:r>
    </w:p>
    <w:p>
      <w:pPr>
        <w:bidi/>
        <w:spacing w:after="120" w:line="360"/>
        <w:jc w:val="both"/>
      </w:pPr>
      <w:r>
        <w:rPr>
          <w:rFonts w:ascii="David" w:cs="David" w:eastAsia="David" w:hAnsi="David"/>
          <w:sz w:val="24"/>
          <w:szCs w:val="24"/>
          <w:rtl/>
        </w:rPr>
        <w:t xml:space="preserve">להלן שישה מאמרים שפיטים (לא ספרים ולא פרקי ספרים), שניים בעברית וארבעה באנגלית, שכולם זמינים בטקסט מלא: ארבעה בגישה פתוחה לחלוטין ושניים דרך אתרים אקדמיים חופשיים. כל מאמר מלווה בקישור, בפרטי כתב העת, בהסבר על התרומה לנושא העבודה ובציון הפרקים שבהם ישולב. אחרי הרשימה מופיעים שישה מאמרים חלופיים, חלקם בגישה פתוחה וחלקם דרך ספריית המכללה.</w:t>
      </w:r>
    </w:p>
    <w:p>
      <w:pPr>
        <w:shd w:fill="F2F2F2" w:color="auto" w:val="clear"/>
        <w:bidi/>
        <w:spacing w:after="120" w:line="360"/>
        <w:jc w:val="right"/>
      </w:pPr>
      <w:r>
        <w:rPr>
          <w:rFonts w:ascii="David" w:cs="David" w:eastAsia="David" w:hAnsi="David"/>
          <w:i/>
          <w:iCs/>
          <w:color w:val="555555"/>
          <w:sz w:val="24"/>
          <w:szCs w:val="24"/>
          <w:rtl/>
        </w:rPr>
        <w:t xml:space="preserve">הפרטים הביבליוגרפיים של ששת המאמרים אומתו מול קובצי ה-PDF המלאים. פרט אחד ברשימת החלופות דורש אימות: נוסח הכותרת המדויק של Buchweitz (2018).</w:t>
      </w:r>
    </w:p>
    <w:p>
      <w:pPr>
        <w:pStyle w:val="Heading1"/>
        <w:bidi/>
        <w:spacing w:after="200" w:before="360" w:line="360"/>
        <w:jc w:val="right"/>
      </w:pPr>
      <w:r>
        <w:rPr>
          <w:rFonts w:ascii="David" w:cs="David" w:eastAsia="David" w:hAnsi="David"/>
          <w:b/>
          <w:bCs/>
          <w:sz w:val="32"/>
          <w:szCs w:val="32"/>
          <w:rtl/>
        </w:rPr>
        <w:t xml:space="preserve">א. שישה מאמרים עיקריים</w:t>
      </w:r>
    </w:p>
    <w:p>
      <w:pPr>
        <w:pStyle w:val="Heading2"/>
        <w:bidi/>
        <w:spacing w:after="120" w:before="240" w:line="360"/>
        <w:jc w:val="right"/>
      </w:pPr>
      <w:r>
        <w:rPr>
          <w:rFonts w:ascii="David" w:cs="David" w:eastAsia="David" w:hAnsi="David"/>
          <w:b/>
          <w:bCs/>
          <w:sz w:val="28"/>
          <w:szCs w:val="28"/>
          <w:rtl/>
        </w:rPr>
        <w:t xml:space="preserve">1. כצמן, 2005</w:t>
      </w:r>
    </w:p>
    <w:p>
      <w:pPr>
        <w:bidi/>
        <w:spacing w:after="160" w:line="360"/>
        <w:ind w:left="720" w:hanging="720"/>
        <w:jc w:val="right"/>
      </w:pPr>
      <w:r>
        <w:rPr>
          <w:rFonts w:ascii="David" w:cs="David" w:eastAsia="David" w:hAnsi="David"/>
          <w:sz w:val="24"/>
          <w:szCs w:val="24"/>
          <w:rtl/>
        </w:rPr>
        <w:t xml:space="preserve">כצמן, ר' (2005). געגועים למיתוס: אישיות, אתיקה ואידיאולוגיה במיתופואסיס הפוסטמודרני של אתגר קרת. </w:t>
      </w:r>
      <w:r>
        <w:rPr>
          <w:rFonts w:ascii="David" w:cs="David" w:eastAsia="David" w:hAnsi="David"/>
          <w:i/>
          <w:iCs/>
          <w:sz w:val="24"/>
          <w:szCs w:val="24"/>
          <w:rtl/>
        </w:rPr>
        <w:t xml:space="preserve">מכאן</w:t>
      </w:r>
      <w:r>
        <w:rPr>
          <w:rFonts w:ascii="David" w:cs="David" w:eastAsia="David" w:hAnsi="David"/>
          <w:sz w:val="24"/>
          <w:szCs w:val="24"/>
          <w:rtl/>
        </w:rPr>
        <w:t xml:space="preserve">, ד, 20–41.</w:t>
      </w:r>
    </w:p>
    <w:p>
      <w:pPr>
        <w:bidi/>
        <w:spacing w:after="120" w:line="360"/>
        <w:jc w:val="both"/>
      </w:pPr>
      <w:r>
        <w:rPr>
          <w:rFonts w:ascii="David" w:cs="David" w:eastAsia="David" w:hAnsi="David"/>
          <w:b/>
          <w:bCs/>
          <w:sz w:val="24"/>
          <w:szCs w:val="24"/>
          <w:rtl/>
        </w:rPr>
        <w:t xml:space="preserve">כתב העת: </w:t>
      </w:r>
      <w:r>
        <w:rPr>
          <w:rFonts w:ascii="David" w:cs="David" w:eastAsia="David" w:hAnsi="David"/>
          <w:sz w:val="24"/>
          <w:szCs w:val="24"/>
          <w:rtl/>
        </w:rPr>
        <w:t xml:space="preserve">מכאן – כתב עת לחקר הספרות והתרבות היהודית והישראלית (מכון הקשרים, אוניברסיטת בן-גוריון); שפיט</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PDF מלא וחופשי בלקסיקון הספרות העברית החדשה (אוניברסיטת אוהיו)</w:t>
      </w:r>
    </w:p>
    <w:p>
      <w:pPr>
        <w:spacing w:after="120" w:line="360"/>
        <w:jc w:val="left"/>
      </w:pPr>
      <w:hyperlink w:history="1" r:id="rIdlyqtxa0zxks_gkykwhxdd">
        <w:r>
          <w:rPr>
            <w:rFonts w:ascii="David" w:cs="David" w:eastAsia="David" w:hAnsi="David"/>
            <w:color w:val="0563C1"/>
            <w:sz w:val="24"/>
            <w:szCs w:val="24"/>
            <w:u w:val="single"/>
          </w:rPr>
          <w:t xml:space="preserve">https://library.osu.edu/projects/hebrew-lexicon/99995-files/99995095/99995095-004/99995095-004-020-041.pdf</w:t>
        </w:r>
      </w:hyperlink>
    </w:p>
    <w:p>
      <w:pPr>
        <w:bidi/>
        <w:spacing w:after="120" w:line="360"/>
        <w:jc w:val="both"/>
      </w:pPr>
      <w:r>
        <w:rPr>
          <w:rFonts w:ascii="David" w:cs="David" w:eastAsia="David" w:hAnsi="David"/>
          <w:b/>
          <w:bCs/>
          <w:sz w:val="24"/>
          <w:szCs w:val="24"/>
          <w:rtl/>
        </w:rPr>
        <w:t xml:space="preserve">תרומה לעבודה: </w:t>
      </w:r>
      <w:r>
        <w:rPr>
          <w:rFonts w:ascii="David" w:cs="David" w:eastAsia="David" w:hAnsi="David"/>
          <w:sz w:val="24"/>
          <w:szCs w:val="24"/>
          <w:rtl/>
        </w:rPr>
        <w:t xml:space="preserve">המאמר מנתח את "האנשים החלולים" עצמו (עמ' 31-36): המיתוסים של קרת אינם סדר ואינם תשובה אלא "הרמוניה ללא סדר", היכולת לחיות בעיה בלי לפתור אותה; "רטוריקת הסתמיות של אבא"; חרדת החזרות בלשון המספר; חזרת החלולים על מילות האב כגניבת קול (בעקבות גאנס). מקור מרכזי לפרק 2.</w:t>
      </w:r>
    </w:p>
    <w:p>
      <w:pPr>
        <w:bidi/>
        <w:spacing w:after="200" w:line="360"/>
        <w:jc w:val="both"/>
      </w:pPr>
      <w:r>
        <w:rPr>
          <w:rFonts w:ascii="David" w:cs="David" w:eastAsia="David" w:hAnsi="David"/>
          <w:b/>
          <w:bCs/>
          <w:sz w:val="24"/>
          <w:szCs w:val="24"/>
          <w:rtl/>
        </w:rPr>
        <w:t xml:space="preserve">ישולב בפרקים: </w:t>
      </w:r>
      <w:r>
        <w:rPr>
          <w:rFonts w:ascii="David" w:cs="David" w:eastAsia="David" w:hAnsi="David"/>
          <w:sz w:val="24"/>
          <w:szCs w:val="24"/>
          <w:rtl/>
        </w:rPr>
        <w:t xml:space="preserve">רקע תאורטי (1.4), פרק 2, פרק 3</w:t>
      </w:r>
    </w:p>
    <w:p>
      <w:pPr>
        <w:pStyle w:val="Heading2"/>
        <w:bidi/>
        <w:spacing w:after="120" w:before="240" w:line="360"/>
        <w:jc w:val="right"/>
      </w:pPr>
      <w:r>
        <w:rPr>
          <w:rFonts w:ascii="David" w:cs="David" w:eastAsia="David" w:hAnsi="David"/>
          <w:b/>
          <w:bCs/>
          <w:sz w:val="28"/>
          <w:szCs w:val="28"/>
          <w:rtl/>
        </w:rPr>
        <w:t xml:space="preserve">2. כהן, 2015</w:t>
      </w:r>
    </w:p>
    <w:p>
      <w:pPr>
        <w:bidi/>
        <w:spacing w:after="160" w:line="360"/>
        <w:ind w:left="720" w:hanging="720"/>
        <w:jc w:val="right"/>
      </w:pPr>
      <w:r>
        <w:rPr>
          <w:rFonts w:ascii="David" w:cs="David" w:eastAsia="David" w:hAnsi="David"/>
          <w:sz w:val="24"/>
          <w:szCs w:val="24"/>
          <w:rtl/>
        </w:rPr>
        <w:t xml:space="preserve">כהן, ד' (2015). בשני צירים שונים: תהליך האבל והתקשורת של הורים ואחים שכולים לאחר אבדן ילד בוגר. </w:t>
      </w:r>
      <w:r>
        <w:rPr>
          <w:rFonts w:ascii="David" w:cs="David" w:eastAsia="David" w:hAnsi="David"/>
          <w:i/>
          <w:iCs/>
          <w:sz w:val="24"/>
          <w:szCs w:val="24"/>
          <w:rtl/>
        </w:rPr>
        <w:t xml:space="preserve">מפגש לעבודה חינוכית-סוציאלית</w:t>
      </w:r>
      <w:r>
        <w:rPr>
          <w:rFonts w:ascii="David" w:cs="David" w:eastAsia="David" w:hAnsi="David"/>
          <w:sz w:val="24"/>
          <w:szCs w:val="24"/>
          <w:rtl/>
        </w:rPr>
        <w:t xml:space="preserve">, כג(41), 97-130.</w:t>
      </w:r>
    </w:p>
    <w:p>
      <w:pPr>
        <w:bidi/>
        <w:spacing w:after="120" w:line="360"/>
        <w:jc w:val="both"/>
      </w:pPr>
      <w:r>
        <w:rPr>
          <w:rFonts w:ascii="David" w:cs="David" w:eastAsia="David" w:hAnsi="David"/>
          <w:b/>
          <w:bCs/>
          <w:sz w:val="24"/>
          <w:szCs w:val="24"/>
          <w:rtl/>
        </w:rPr>
        <w:t xml:space="preserve">כתב העת: </w:t>
      </w:r>
      <w:r>
        <w:rPr>
          <w:rFonts w:ascii="David" w:cs="David" w:eastAsia="David" w:hAnsi="David"/>
          <w:sz w:val="24"/>
          <w:szCs w:val="24"/>
          <w:rtl/>
        </w:rPr>
        <w:t xml:space="preserve">מפגש לעבודה חינוכית-סוציאלית (עמותת אפשר); כתב עת שפיט בין-תחומי</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PDF מלא וחופשי באתר כתבי העת של אפשר</w:t>
      </w:r>
    </w:p>
    <w:p>
      <w:pPr>
        <w:spacing w:after="120" w:line="360"/>
        <w:jc w:val="left"/>
      </w:pPr>
      <w:hyperlink w:history="1" r:id="rIdy5u-ayy_hqpnr6gjjbarr">
        <w:r>
          <w:rPr>
            <w:rFonts w:ascii="David" w:cs="David" w:eastAsia="David" w:hAnsi="David"/>
            <w:color w:val="0563C1"/>
            <w:sz w:val="24"/>
            <w:szCs w:val="24"/>
            <w:u w:val="single"/>
          </w:rPr>
          <w:t xml:space="preserve">https://kitvei-et.efshar.org.il/wp-content/uploads/Mifgash-41-05-בשני-צירים-אבל-הורים-ואחים-כהן.pdf</w:t>
        </w:r>
      </w:hyperlink>
    </w:p>
    <w:p>
      <w:pPr>
        <w:bidi/>
        <w:spacing w:after="120" w:line="360"/>
        <w:jc w:val="both"/>
      </w:pPr>
      <w:r>
        <w:rPr>
          <w:rFonts w:ascii="David" w:cs="David" w:eastAsia="David" w:hAnsi="David"/>
          <w:b/>
          <w:bCs/>
          <w:sz w:val="24"/>
          <w:szCs w:val="24"/>
          <w:rtl/>
        </w:rPr>
        <w:t xml:space="preserve">תרומה לעבודה: </w:t>
      </w:r>
      <w:r>
        <w:rPr>
          <w:rFonts w:ascii="David" w:cs="David" w:eastAsia="David" w:hAnsi="David"/>
          <w:sz w:val="24"/>
          <w:szCs w:val="24"/>
          <w:rtl/>
        </w:rPr>
        <w:t xml:space="preserve">מחקר איכותני על 14 משפחות ישראליות שאיבדו ילד בוגר באופן בלתי צפוי: אבל ההורים טוטלי ומעמיק עם הזמן, אבל האחים פוחת; טאבו משפחתי על דיבור על הכאב (מדברים באנקדוטות); הכאב מדובר בקבוצת שווים מחוץ למשפחה. מסביר את הסופר האמריקאי שאיבד ילד, התגרש ובנה זהות חדשה, ואת השתיקה בבית של שיפמן.</w:t>
      </w:r>
    </w:p>
    <w:p>
      <w:pPr>
        <w:bidi/>
        <w:spacing w:after="200" w:line="360"/>
        <w:jc w:val="both"/>
      </w:pPr>
      <w:r>
        <w:rPr>
          <w:rFonts w:ascii="David" w:cs="David" w:eastAsia="David" w:hAnsi="David"/>
          <w:b/>
          <w:bCs/>
          <w:sz w:val="24"/>
          <w:szCs w:val="24"/>
          <w:rtl/>
        </w:rPr>
        <w:t xml:space="preserve">ישולב בפרקים: </w:t>
      </w:r>
      <w:r>
        <w:rPr>
          <w:rFonts w:ascii="David" w:cs="David" w:eastAsia="David" w:hAnsi="David"/>
          <w:sz w:val="24"/>
          <w:szCs w:val="24"/>
          <w:rtl/>
        </w:rPr>
        <w:t xml:space="preserve">רקע תאורטי (1.2), פרק 3, דיון</w:t>
      </w:r>
    </w:p>
    <w:p>
      <w:pPr>
        <w:pStyle w:val="Heading2"/>
        <w:bidi/>
        <w:spacing w:after="120" w:before="240" w:line="360"/>
        <w:jc w:val="right"/>
      </w:pPr>
      <w:r>
        <w:rPr>
          <w:rFonts w:ascii="David" w:cs="David" w:eastAsia="David" w:hAnsi="David"/>
          <w:b/>
          <w:bCs/>
          <w:sz w:val="28"/>
          <w:szCs w:val="28"/>
          <w:rtl/>
        </w:rPr>
        <w:t xml:space="preserve">3. Abramovich, 2019</w:t>
      </w:r>
    </w:p>
    <w:p>
      <w:pPr>
        <w:spacing w:after="160" w:line="360"/>
        <w:ind w:left="720" w:hanging="720"/>
        <w:jc w:val="left"/>
      </w:pPr>
      <w:r>
        <w:rPr>
          <w:rFonts w:ascii="David" w:cs="David" w:eastAsia="David" w:hAnsi="David"/>
          <w:sz w:val="24"/>
          <w:szCs w:val="24"/>
        </w:rPr>
        <w:t xml:space="preserve">Abramovich, D. (2019). Israeli Holocaust memory in a short story by Etgar Keret. </w:t>
      </w:r>
      <w:r>
        <w:rPr>
          <w:rFonts w:ascii="David" w:cs="David" w:eastAsia="David" w:hAnsi="David"/>
          <w:i/>
          <w:iCs/>
          <w:sz w:val="24"/>
          <w:szCs w:val="24"/>
        </w:rPr>
        <w:t xml:space="preserve">Australian Journal of Jewish Studies, 32</w:t>
      </w:r>
      <w:r>
        <w:rPr>
          <w:rFonts w:ascii="David" w:cs="David" w:eastAsia="David" w:hAnsi="David"/>
          <w:sz w:val="24"/>
          <w:szCs w:val="24"/>
        </w:rPr>
        <w:t xml:space="preserve">, 21–33.</w:t>
      </w:r>
    </w:p>
    <w:p>
      <w:pPr>
        <w:bidi/>
        <w:spacing w:after="120" w:line="360"/>
        <w:jc w:val="both"/>
      </w:pPr>
      <w:r>
        <w:rPr>
          <w:rFonts w:ascii="David" w:cs="David" w:eastAsia="David" w:hAnsi="David"/>
          <w:b/>
          <w:bCs/>
          <w:sz w:val="24"/>
          <w:szCs w:val="24"/>
          <w:rtl/>
        </w:rPr>
        <w:t xml:space="preserve">כתב העת: </w:t>
      </w:r>
      <w:r>
        <w:rPr>
          <w:rFonts w:ascii="David" w:cs="David" w:eastAsia="David" w:hAnsi="David"/>
          <w:sz w:val="24"/>
          <w:szCs w:val="24"/>
          <w:rtl/>
        </w:rPr>
        <w:t xml:space="preserve">Australian Journal of Jewish Studies; כתב עת שפיט של האגודה האוסטרלית ללימודי יהדות</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PDF מלא וחופשי באתר האגודה</w:t>
      </w:r>
    </w:p>
    <w:p>
      <w:pPr>
        <w:spacing w:after="120" w:line="360"/>
        <w:jc w:val="left"/>
      </w:pPr>
      <w:hyperlink w:history="1" r:id="rIdhd4kv4acao-r6tqwvya6i">
        <w:r>
          <w:rPr>
            <w:rFonts w:ascii="David" w:cs="David" w:eastAsia="David" w:hAnsi="David"/>
            <w:color w:val="0563C1"/>
            <w:sz w:val="24"/>
            <w:szCs w:val="24"/>
            <w:u w:val="single"/>
          </w:rPr>
          <w:t xml:space="preserve">http://www.aajs.org.au/wp-content/uploads/2020/03/AJJSvol32_Abramovich_21-33.pdf</w:t>
        </w:r>
      </w:hyperlink>
    </w:p>
    <w:p>
      <w:pPr>
        <w:bidi/>
        <w:spacing w:after="120" w:line="360"/>
        <w:jc w:val="both"/>
      </w:pPr>
      <w:r>
        <w:rPr>
          <w:rFonts w:ascii="David" w:cs="David" w:eastAsia="David" w:hAnsi="David"/>
          <w:b/>
          <w:bCs/>
          <w:sz w:val="24"/>
          <w:szCs w:val="24"/>
          <w:rtl/>
        </w:rPr>
        <w:t xml:space="preserve">תרומה לעבודה: </w:t>
      </w:r>
      <w:r>
        <w:rPr>
          <w:rFonts w:ascii="David" w:cs="David" w:eastAsia="David" w:hAnsi="David"/>
          <w:sz w:val="24"/>
          <w:szCs w:val="24"/>
          <w:rtl/>
        </w:rPr>
        <w:t xml:space="preserve">קריאה בסיפור "נעליים": ילד מן הדור השלישי, זיכרון השואה ותחושת אשמה כלפי הסב. מקור ישיר לנושא האשמה והחרטה ולדרך שבה קרת מפרק טקסים ממלכתיים לטובת זיכרון פרטי ומשפחתי.</w:t>
      </w:r>
    </w:p>
    <w:p>
      <w:pPr>
        <w:bidi/>
        <w:spacing w:after="200" w:line="360"/>
        <w:jc w:val="both"/>
      </w:pPr>
      <w:r>
        <w:rPr>
          <w:rFonts w:ascii="David" w:cs="David" w:eastAsia="David" w:hAnsi="David"/>
          <w:b/>
          <w:bCs/>
          <w:sz w:val="24"/>
          <w:szCs w:val="24"/>
          <w:rtl/>
        </w:rPr>
        <w:t xml:space="preserve">ישולב בפרקים: </w:t>
      </w:r>
      <w:r>
        <w:rPr>
          <w:rFonts w:ascii="David" w:cs="David" w:eastAsia="David" w:hAnsi="David"/>
          <w:sz w:val="24"/>
          <w:szCs w:val="24"/>
          <w:rtl/>
        </w:rPr>
        <w:t xml:space="preserve">מבוא, רקע תאורטי (1.3), פרק 2</w:t>
      </w:r>
    </w:p>
    <w:p>
      <w:pPr>
        <w:pStyle w:val="Heading2"/>
        <w:bidi/>
        <w:spacing w:after="120" w:before="240" w:line="360"/>
        <w:jc w:val="right"/>
      </w:pPr>
      <w:r>
        <w:rPr>
          <w:rFonts w:ascii="David" w:cs="David" w:eastAsia="David" w:hAnsi="David"/>
          <w:b/>
          <w:bCs/>
          <w:sz w:val="28"/>
          <w:szCs w:val="28"/>
          <w:rtl/>
        </w:rPr>
        <w:t xml:space="preserve">4. Mendelson-Maoz, 2018</w:t>
      </w:r>
    </w:p>
    <w:p>
      <w:pPr>
        <w:spacing w:after="160" w:line="360"/>
        <w:ind w:left="720" w:hanging="720"/>
        <w:jc w:val="left"/>
      </w:pPr>
      <w:r>
        <w:rPr>
          <w:rFonts w:ascii="David" w:cs="David" w:eastAsia="David" w:hAnsi="David"/>
          <w:sz w:val="24"/>
          <w:szCs w:val="24"/>
        </w:rPr>
        <w:t xml:space="preserve">Mendelson-Maoz, A. (2018). Keret's "living-dead" and the sacrifice of Israeli masculinity. </w:t>
      </w:r>
      <w:r>
        <w:rPr>
          <w:rFonts w:ascii="David" w:cs="David" w:eastAsia="David" w:hAnsi="David"/>
          <w:i/>
          <w:iCs/>
          <w:sz w:val="24"/>
          <w:szCs w:val="24"/>
        </w:rPr>
        <w:t xml:space="preserve">BGU Review: A Journal of Israeli Culture</w:t>
      </w:r>
      <w:r>
        <w:rPr>
          <w:rFonts w:ascii="David" w:cs="David" w:eastAsia="David" w:hAnsi="David"/>
          <w:sz w:val="24"/>
          <w:szCs w:val="24"/>
        </w:rPr>
        <w:t xml:space="preserve">, Winter 2018, 1-24.</w:t>
      </w:r>
    </w:p>
    <w:p>
      <w:pPr>
        <w:bidi/>
        <w:spacing w:after="120" w:line="360"/>
        <w:jc w:val="both"/>
      </w:pPr>
      <w:r>
        <w:rPr>
          <w:rFonts w:ascii="David" w:cs="David" w:eastAsia="David" w:hAnsi="David"/>
          <w:b/>
          <w:bCs/>
          <w:sz w:val="24"/>
          <w:szCs w:val="24"/>
          <w:rtl/>
        </w:rPr>
        <w:t xml:space="preserve">כתב העת: </w:t>
      </w:r>
      <w:r>
        <w:rPr>
          <w:rFonts w:ascii="David" w:cs="David" w:eastAsia="David" w:hAnsi="David"/>
          <w:sz w:val="24"/>
          <w:szCs w:val="24"/>
          <w:rtl/>
        </w:rPr>
        <w:t xml:space="preserve">BGU Review – A Journal of Israeli Culture (מכון הקשרים, אוניברסיטת בן-גוריון); גיליון מחקרי מיוחד על קרת</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PDF מלא וחופשי באתר אוניברסיטת בן-גוריון</w:t>
      </w:r>
    </w:p>
    <w:p>
      <w:pPr>
        <w:spacing w:after="120" w:line="360"/>
        <w:jc w:val="left"/>
      </w:pPr>
      <w:hyperlink w:history="1" r:id="rIdfjjwdqkemvorc_1t_oa62">
        <w:r>
          <w:rPr>
            <w:rFonts w:ascii="David" w:cs="David" w:eastAsia="David" w:hAnsi="David"/>
            <w:color w:val="0563C1"/>
            <w:sz w:val="24"/>
            <w:szCs w:val="24"/>
            <w:u w:val="single"/>
          </w:rPr>
          <w:t xml:space="preserve">https://in.bgu.ac.il/en/heksherim/BGU%20Review%202018/Adia-Mendelson-Maoz-BGUR.pdf</w:t>
        </w:r>
      </w:hyperlink>
    </w:p>
    <w:p>
      <w:pPr>
        <w:bidi/>
        <w:spacing w:after="120" w:line="360"/>
        <w:jc w:val="both"/>
      </w:pPr>
      <w:r>
        <w:rPr>
          <w:rFonts w:ascii="David" w:cs="David" w:eastAsia="David" w:hAnsi="David"/>
          <w:b/>
          <w:bCs/>
          <w:sz w:val="24"/>
          <w:szCs w:val="24"/>
          <w:rtl/>
        </w:rPr>
        <w:t xml:space="preserve">תרומה לעבודה: </w:t>
      </w:r>
      <w:r>
        <w:rPr>
          <w:rFonts w:ascii="David" w:cs="David" w:eastAsia="David" w:hAnsi="David"/>
          <w:sz w:val="24"/>
          <w:szCs w:val="24"/>
          <w:rtl/>
        </w:rPr>
        <w:t xml:space="preserve">ה"מתים-החיים" אצל קרת: דמויות שחיות בין חיים למוות, קורבן וגבריות. מסגרת לקריאת "האנשים החלולים" – קולות בלי גוף, האב שמת בפינה, והבן שנעשה "אחד מהם".</w:t>
      </w:r>
    </w:p>
    <w:p>
      <w:pPr>
        <w:bidi/>
        <w:spacing w:after="200" w:line="360"/>
        <w:jc w:val="both"/>
      </w:pPr>
      <w:r>
        <w:rPr>
          <w:rFonts w:ascii="David" w:cs="David" w:eastAsia="David" w:hAnsi="David"/>
          <w:b/>
          <w:bCs/>
          <w:sz w:val="24"/>
          <w:szCs w:val="24"/>
          <w:rtl/>
        </w:rPr>
        <w:t xml:space="preserve">ישולב בפרקים: </w:t>
      </w:r>
      <w:r>
        <w:rPr>
          <w:rFonts w:ascii="David" w:cs="David" w:eastAsia="David" w:hAnsi="David"/>
          <w:sz w:val="24"/>
          <w:szCs w:val="24"/>
          <w:rtl/>
        </w:rPr>
        <w:t xml:space="preserve">רקע תאורטי (1.4), פרק 2, פרק 4</w:t>
      </w:r>
    </w:p>
    <w:p>
      <w:pPr>
        <w:pStyle w:val="Heading2"/>
        <w:bidi/>
        <w:spacing w:after="120" w:before="240" w:line="360"/>
        <w:jc w:val="right"/>
      </w:pPr>
      <w:r>
        <w:rPr>
          <w:rFonts w:ascii="David" w:cs="David" w:eastAsia="David" w:hAnsi="David"/>
          <w:b/>
          <w:bCs/>
          <w:sz w:val="28"/>
          <w:szCs w:val="28"/>
          <w:rtl/>
        </w:rPr>
        <w:t xml:space="preserve">5. Omer-Sherman, 2020</w:t>
      </w:r>
    </w:p>
    <w:p>
      <w:pPr>
        <w:spacing w:after="160" w:line="360"/>
        <w:ind w:left="720" w:hanging="720"/>
        <w:jc w:val="left"/>
      </w:pPr>
      <w:r>
        <w:rPr>
          <w:rFonts w:ascii="David" w:cs="David" w:eastAsia="David" w:hAnsi="David"/>
          <w:sz w:val="24"/>
          <w:szCs w:val="24"/>
        </w:rPr>
        <w:t xml:space="preserve">Omer-Sherman, R. (2020). "To extract from it some sort of beautiful thing": The Holocaust in the families and fiction of Nava Semel and Etgar Keret. </w:t>
      </w:r>
      <w:r>
        <w:rPr>
          <w:rFonts w:ascii="David" w:cs="David" w:eastAsia="David" w:hAnsi="David"/>
          <w:i/>
          <w:iCs/>
          <w:sz w:val="24"/>
          <w:szCs w:val="24"/>
        </w:rPr>
        <w:t xml:space="preserve">Humanities, 9</w:t>
      </w:r>
      <w:r>
        <w:rPr>
          <w:rFonts w:ascii="David" w:cs="David" w:eastAsia="David" w:hAnsi="David"/>
          <w:sz w:val="24"/>
          <w:szCs w:val="24"/>
        </w:rPr>
        <w:t xml:space="preserve">(4), Article 137. https://doi.org/10.3390/h9040137</w:t>
      </w:r>
    </w:p>
    <w:p>
      <w:pPr>
        <w:bidi/>
        <w:spacing w:after="120" w:line="360"/>
        <w:jc w:val="both"/>
      </w:pPr>
      <w:r>
        <w:rPr>
          <w:rFonts w:ascii="David" w:cs="David" w:eastAsia="David" w:hAnsi="David"/>
          <w:b/>
          <w:bCs/>
          <w:sz w:val="24"/>
          <w:szCs w:val="24"/>
          <w:rtl/>
        </w:rPr>
        <w:t xml:space="preserve">כתב העת: </w:t>
      </w:r>
      <w:r>
        <w:rPr>
          <w:rFonts w:ascii="David" w:cs="David" w:eastAsia="David" w:hAnsi="David"/>
          <w:sz w:val="24"/>
          <w:szCs w:val="24"/>
          <w:rtl/>
        </w:rPr>
        <w:t xml:space="preserve">Humanities (MDPI); כתב עת שפיט בגישה פתוחה</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גישה פתוחה מלאה (Open Access) דרך ה-DOI</w:t>
      </w:r>
    </w:p>
    <w:p>
      <w:pPr>
        <w:spacing w:after="120" w:line="360"/>
        <w:jc w:val="left"/>
      </w:pPr>
      <w:hyperlink w:history="1" r:id="rIdbgk2oufttamdr7lvrubcw">
        <w:r>
          <w:rPr>
            <w:rFonts w:ascii="David" w:cs="David" w:eastAsia="David" w:hAnsi="David"/>
            <w:color w:val="0563C1"/>
            <w:sz w:val="24"/>
            <w:szCs w:val="24"/>
            <w:u w:val="single"/>
          </w:rPr>
          <w:t xml:space="preserve">https://doi.org/10.3390/h9040137</w:t>
        </w:r>
      </w:hyperlink>
    </w:p>
    <w:p>
      <w:pPr>
        <w:bidi/>
        <w:spacing w:after="120" w:line="360"/>
        <w:jc w:val="both"/>
      </w:pPr>
      <w:r>
        <w:rPr>
          <w:rFonts w:ascii="David" w:cs="David" w:eastAsia="David" w:hAnsi="David"/>
          <w:b/>
          <w:bCs/>
          <w:sz w:val="24"/>
          <w:szCs w:val="24"/>
          <w:rtl/>
        </w:rPr>
        <w:t xml:space="preserve">תרומה לעבודה: </w:t>
      </w:r>
      <w:r>
        <w:rPr>
          <w:rFonts w:ascii="David" w:cs="David" w:eastAsia="David" w:hAnsi="David"/>
          <w:sz w:val="24"/>
          <w:szCs w:val="24"/>
          <w:rtl/>
        </w:rPr>
        <w:t xml:space="preserve">קרת כבן לניצולי שואה: בניגוד ל"משפחות השותקות", הוריו דיברו והכניסו את הזוועה למסגרת כמעט אופטימית; אביו אמר לו שכל מה שעבר נמצא בטווח הרגשות של הבן ("אתה יודע מה זה לפחד"); ההומור כ"נשק של החלשים". המקור המרכזי ליחסי אב-בן ולהתמודדות בין-דורית.</w:t>
      </w:r>
    </w:p>
    <w:p>
      <w:pPr>
        <w:bidi/>
        <w:spacing w:after="200" w:line="360"/>
        <w:jc w:val="both"/>
      </w:pPr>
      <w:r>
        <w:rPr>
          <w:rFonts w:ascii="David" w:cs="David" w:eastAsia="David" w:hAnsi="David"/>
          <w:b/>
          <w:bCs/>
          <w:sz w:val="24"/>
          <w:szCs w:val="24"/>
          <w:rtl/>
        </w:rPr>
        <w:t xml:space="preserve">ישולב בפרקים: </w:t>
      </w:r>
      <w:r>
        <w:rPr>
          <w:rFonts w:ascii="David" w:cs="David" w:eastAsia="David" w:hAnsi="David"/>
          <w:sz w:val="24"/>
          <w:szCs w:val="24"/>
          <w:rtl/>
        </w:rPr>
        <w:t xml:space="preserve">מבוא, רקע תאורטי (1.3), פרק 2, דיון</w:t>
      </w:r>
    </w:p>
    <w:p>
      <w:pPr>
        <w:pStyle w:val="Heading2"/>
        <w:bidi/>
        <w:spacing w:after="120" w:before="240" w:line="360"/>
        <w:jc w:val="right"/>
      </w:pPr>
      <w:r>
        <w:rPr>
          <w:rFonts w:ascii="David" w:cs="David" w:eastAsia="David" w:hAnsi="David"/>
          <w:b/>
          <w:bCs/>
          <w:sz w:val="28"/>
          <w:szCs w:val="28"/>
          <w:rtl/>
        </w:rPr>
        <w:t xml:space="preserve">6. Schwartz, 2018</w:t>
      </w:r>
    </w:p>
    <w:p>
      <w:pPr>
        <w:spacing w:after="160" w:line="360"/>
        <w:ind w:left="720" w:hanging="720"/>
        <w:jc w:val="left"/>
      </w:pPr>
      <w:r>
        <w:rPr>
          <w:rFonts w:ascii="David" w:cs="David" w:eastAsia="David" w:hAnsi="David"/>
          <w:sz w:val="24"/>
          <w:szCs w:val="24"/>
        </w:rPr>
        <w:t xml:space="preserve">Schwartz, Y. (2018). "A story or a bullet between the eyes": Etgar Keret: Repetitiveness, morality, and postmodernism. </w:t>
      </w:r>
      <w:r>
        <w:rPr>
          <w:rFonts w:ascii="David" w:cs="David" w:eastAsia="David" w:hAnsi="David"/>
          <w:i/>
          <w:iCs/>
          <w:sz w:val="24"/>
          <w:szCs w:val="24"/>
        </w:rPr>
        <w:t xml:space="preserve">BGU Review: A Journal of Israeli Culture</w:t>
      </w:r>
      <w:r>
        <w:rPr>
          <w:rFonts w:ascii="David" w:cs="David" w:eastAsia="David" w:hAnsi="David"/>
          <w:sz w:val="24"/>
          <w:szCs w:val="24"/>
        </w:rPr>
        <w:t xml:space="preserve">, Winter 2018, 1-24. (Original work published 2017 in Hebrew Studies, 58, 425-443)</w:t>
      </w:r>
    </w:p>
    <w:p>
      <w:pPr>
        <w:bidi/>
        <w:spacing w:after="120" w:line="360"/>
        <w:jc w:val="both"/>
      </w:pPr>
      <w:r>
        <w:rPr>
          <w:rFonts w:ascii="David" w:cs="David" w:eastAsia="David" w:hAnsi="David"/>
          <w:b/>
          <w:bCs/>
          <w:sz w:val="24"/>
          <w:szCs w:val="24"/>
          <w:rtl/>
        </w:rPr>
        <w:t xml:space="preserve">כתב העת: </w:t>
      </w:r>
      <w:r>
        <w:rPr>
          <w:rFonts w:ascii="David" w:cs="David" w:eastAsia="David" w:hAnsi="David"/>
          <w:sz w:val="24"/>
          <w:szCs w:val="24"/>
          <w:rtl/>
        </w:rPr>
        <w:t xml:space="preserve">BGU Review – A Journal of Israeli Culture (מכון הקשרים, אוניברסיטת בן-גוריון)</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PDF מלא וחופשי באתר אוניברסיטת בן-גוריון</w:t>
      </w:r>
    </w:p>
    <w:p>
      <w:pPr>
        <w:spacing w:after="120" w:line="360"/>
        <w:jc w:val="left"/>
      </w:pPr>
      <w:hyperlink w:history="1" r:id="rIdaamqhlf3i5g3chxrj7jzv">
        <w:r>
          <w:rPr>
            <w:rFonts w:ascii="David" w:cs="David" w:eastAsia="David" w:hAnsi="David"/>
            <w:color w:val="0563C1"/>
            <w:sz w:val="24"/>
            <w:szCs w:val="24"/>
            <w:u w:val="single"/>
          </w:rPr>
          <w:t xml:space="preserve">https://www.bgu.ac.il/media/zpjot1iw/yigal-schwartz-bgur.pdf</w:t>
        </w:r>
      </w:hyperlink>
    </w:p>
    <w:p>
      <w:pPr>
        <w:bidi/>
        <w:spacing w:after="120" w:line="360"/>
        <w:jc w:val="both"/>
      </w:pPr>
      <w:r>
        <w:rPr>
          <w:rFonts w:ascii="David" w:cs="David" w:eastAsia="David" w:hAnsi="David"/>
          <w:b/>
          <w:bCs/>
          <w:sz w:val="24"/>
          <w:szCs w:val="24"/>
          <w:rtl/>
        </w:rPr>
        <w:t xml:space="preserve">תרומה לעבודה: </w:t>
      </w:r>
      <w:r>
        <w:rPr>
          <w:rFonts w:ascii="David" w:cs="David" w:eastAsia="David" w:hAnsi="David"/>
          <w:sz w:val="24"/>
          <w:szCs w:val="24"/>
          <w:rtl/>
        </w:rPr>
        <w:t xml:space="preserve">האסטרטגיה המרכזית של קרת: חזרה מכנית (הד, לולאה) לצד סטייה קטנה ומקרית, "מוטציה נרטיבית", שעוצרת את הלולאה ופותחת מרחב אתי. מזכיר את "האנשים החלולים" ומצטט את כצמן על גניבת הקול. מפתח לשרשרת ההדים בסיפור המוקדם, לנוסחה "ומי כמונו יודע" ולצוואר כמוטציה.</w:t>
      </w:r>
    </w:p>
    <w:p>
      <w:pPr>
        <w:bidi/>
        <w:spacing w:after="200" w:line="360"/>
        <w:jc w:val="both"/>
      </w:pPr>
      <w:r>
        <w:rPr>
          <w:rFonts w:ascii="David" w:cs="David" w:eastAsia="David" w:hAnsi="David"/>
          <w:b/>
          <w:bCs/>
          <w:sz w:val="24"/>
          <w:szCs w:val="24"/>
          <w:rtl/>
        </w:rPr>
        <w:t xml:space="preserve">ישולב בפרקים: </w:t>
      </w:r>
      <w:r>
        <w:rPr>
          <w:rFonts w:ascii="David" w:cs="David" w:eastAsia="David" w:hAnsi="David"/>
          <w:sz w:val="24"/>
          <w:szCs w:val="24"/>
          <w:rtl/>
        </w:rPr>
        <w:t xml:space="preserve">רקע תאורטי (1.4), פרק 2, פרק 3, דיון</w:t>
      </w:r>
    </w:p>
    <w:p>
      <w:r>
        <w:br w:type="page"/>
      </w:r>
    </w:p>
    <w:p>
      <w:pPr>
        <w:pStyle w:val="Heading1"/>
        <w:bidi/>
        <w:spacing w:after="200" w:before="360" w:line="360"/>
        <w:jc w:val="right"/>
      </w:pPr>
      <w:r>
        <w:rPr>
          <w:rFonts w:ascii="David" w:cs="David" w:eastAsia="David" w:hAnsi="David"/>
          <w:b/>
          <w:bCs/>
          <w:sz w:val="32"/>
          <w:szCs w:val="32"/>
          <w:rtl/>
        </w:rPr>
        <w:t xml:space="preserve">ב. מאמרים חלופיים ומשלימים</w:t>
      </w:r>
    </w:p>
    <w:p>
      <w:pPr>
        <w:bidi/>
        <w:spacing w:after="120" w:line="360"/>
        <w:jc w:val="both"/>
      </w:pPr>
      <w:r>
        <w:rPr>
          <w:rFonts w:ascii="David" w:cs="David" w:eastAsia="David" w:hAnsi="David"/>
          <w:sz w:val="24"/>
          <w:szCs w:val="24"/>
          <w:rtl/>
        </w:rPr>
        <w:t xml:space="preserve">אם המרצה תבקש להחליף מאמר, או אם תרצו להרחיב, אלה המועמדים הבאים בתור. ליד כל אחד מצוין אופן הגישה.</w:t>
      </w:r>
    </w:p>
    <w:p>
      <w:pPr>
        <w:pStyle w:val="Heading3"/>
        <w:bidi/>
        <w:spacing w:after="80" w:before="160" w:line="360"/>
        <w:jc w:val="right"/>
      </w:pPr>
      <w:r>
        <w:rPr>
          <w:rFonts w:ascii="David" w:cs="David" w:eastAsia="David" w:hAnsi="David"/>
          <w:b/>
          <w:bCs/>
          <w:sz w:val="24"/>
          <w:szCs w:val="24"/>
          <w:rtl/>
        </w:rPr>
        <w:t xml:space="preserve">1. Buchweitz, 2018</w:t>
      </w:r>
    </w:p>
    <w:p>
      <w:pPr>
        <w:spacing w:after="160" w:line="360"/>
        <w:ind w:left="720" w:hanging="720"/>
        <w:jc w:val="left"/>
      </w:pPr>
      <w:r>
        <w:rPr>
          <w:rFonts w:ascii="David" w:cs="David" w:eastAsia="David" w:hAnsi="David"/>
          <w:sz w:val="24"/>
          <w:szCs w:val="24"/>
        </w:rPr>
        <w:t xml:space="preserve">Buchweitz, N. (2018). The Seven Good Years as Etgar Keret's poetic credo. </w:t>
      </w:r>
      <w:r>
        <w:rPr>
          <w:rFonts w:ascii="David" w:cs="David" w:eastAsia="David" w:hAnsi="David"/>
          <w:i/>
          <w:iCs/>
          <w:sz w:val="24"/>
          <w:szCs w:val="24"/>
        </w:rPr>
        <w:t xml:space="preserve">BGU Review: A Journal of Israeli Culture</w:t>
      </w:r>
      <w:r>
        <w:rPr>
          <w:rFonts w:ascii="David" w:cs="David" w:eastAsia="David" w:hAnsi="David"/>
          <w:sz w:val="24"/>
          <w:szCs w:val="24"/>
        </w:rPr>
        <w:t xml:space="preserve">, Winter 2018.</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PDF חופשי. לאמת את נוסח הכותרת המלא בעמוד הראשון של ה-PDF</w:t>
      </w:r>
    </w:p>
    <w:p>
      <w:pPr>
        <w:spacing w:after="80" w:line="360"/>
        <w:jc w:val="left"/>
      </w:pPr>
      <w:hyperlink w:history="1" r:id="rIdrtmjfr6cnho8qovq-uody">
        <w:r>
          <w:rPr>
            <w:rFonts w:ascii="David" w:cs="David" w:eastAsia="David" w:hAnsi="David"/>
            <w:color w:val="0563C1"/>
            <w:sz w:val="24"/>
            <w:szCs w:val="24"/>
            <w:u w:val="single"/>
          </w:rPr>
          <w:t xml:space="preserve">https://in.bgu.ac.il/en/heksherim/BGU%20Review%202018/Nurit-Buchweitz-BGUR.pdf</w:t>
        </w:r>
      </w:hyperlink>
    </w:p>
    <w:p>
      <w:pPr>
        <w:bidi/>
        <w:spacing w:after="160" w:line="360"/>
        <w:jc w:val="both"/>
      </w:pPr>
      <w:r>
        <w:rPr>
          <w:rFonts w:ascii="David" w:cs="David" w:eastAsia="David" w:hAnsi="David"/>
          <w:b/>
          <w:bCs/>
          <w:sz w:val="24"/>
          <w:szCs w:val="24"/>
          <w:rtl/>
        </w:rPr>
        <w:t xml:space="preserve">למה: </w:t>
      </w:r>
      <w:r>
        <w:rPr>
          <w:rFonts w:ascii="David" w:cs="David" w:eastAsia="David" w:hAnsi="David"/>
          <w:sz w:val="24"/>
          <w:szCs w:val="24"/>
          <w:rtl/>
        </w:rPr>
        <w:t xml:space="preserve">על ספר הזיכרונות "שבע השנים הטובות": בין לידת הבן למות האב – יחסי אב-בן והכתיבה כדרך התמודדות.</w:t>
      </w:r>
    </w:p>
    <w:p>
      <w:pPr>
        <w:pStyle w:val="Heading3"/>
        <w:bidi/>
        <w:spacing w:after="80" w:before="160" w:line="360"/>
        <w:jc w:val="right"/>
      </w:pPr>
      <w:r>
        <w:rPr>
          <w:rFonts w:ascii="David" w:cs="David" w:eastAsia="David" w:hAnsi="David"/>
          <w:b/>
          <w:bCs/>
          <w:sz w:val="24"/>
          <w:szCs w:val="24"/>
          <w:rtl/>
        </w:rPr>
        <w:t xml:space="preserve">2. Karti Shemtov, 2018</w:t>
      </w:r>
    </w:p>
    <w:p>
      <w:pPr>
        <w:spacing w:after="160" w:line="360"/>
        <w:ind w:left="720" w:hanging="720"/>
        <w:jc w:val="left"/>
      </w:pPr>
      <w:r>
        <w:rPr>
          <w:rFonts w:ascii="David" w:cs="David" w:eastAsia="David" w:hAnsi="David"/>
          <w:sz w:val="24"/>
          <w:szCs w:val="24"/>
        </w:rPr>
        <w:t xml:space="preserve">Karti Shemtov, V. (2018). A sense of no ending, part 2: Etgar Keret and the changing concept of time in contemporary Hebrew literature. </w:t>
      </w:r>
      <w:r>
        <w:rPr>
          <w:rFonts w:ascii="David" w:cs="David" w:eastAsia="David" w:hAnsi="David"/>
          <w:i/>
          <w:iCs/>
          <w:sz w:val="24"/>
          <w:szCs w:val="24"/>
        </w:rPr>
        <w:t xml:space="preserve">Dibur Literary Journal, 6</w:t>
      </w:r>
      <w:r>
        <w:rPr>
          <w:rFonts w:ascii="David" w:cs="David" w:eastAsia="David" w:hAnsi="David"/>
          <w:sz w:val="24"/>
          <w:szCs w:val="24"/>
        </w:rPr>
        <w:t xml:space="preserve">, 57–64.</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גישה פתוחה (אוניברסיטת סטנפורד)</w:t>
      </w:r>
    </w:p>
    <w:p>
      <w:pPr>
        <w:spacing w:after="80" w:line="360"/>
        <w:jc w:val="left"/>
      </w:pPr>
      <w:hyperlink w:history="1" r:id="rIdn7wmrrrrofzmpy5sei0dm">
        <w:r>
          <w:rPr>
            <w:rFonts w:ascii="David" w:cs="David" w:eastAsia="David" w:hAnsi="David"/>
            <w:color w:val="0563C1"/>
            <w:sz w:val="24"/>
            <w:szCs w:val="24"/>
            <w:u w:val="single"/>
          </w:rPr>
          <w:t xml:space="preserve">https://arcade.stanford.edu/dibur/sense-no-ending-part-2-etgar-keret-and-changing-concept-time-contemporary-hebrew-literature</w:t>
        </w:r>
      </w:hyperlink>
    </w:p>
    <w:p>
      <w:pPr>
        <w:bidi/>
        <w:spacing w:after="160" w:line="360"/>
        <w:jc w:val="both"/>
      </w:pPr>
      <w:r>
        <w:rPr>
          <w:rFonts w:ascii="David" w:cs="David" w:eastAsia="David" w:hAnsi="David"/>
          <w:b/>
          <w:bCs/>
          <w:sz w:val="24"/>
          <w:szCs w:val="24"/>
          <w:rtl/>
        </w:rPr>
        <w:t xml:space="preserve">למה: </w:t>
      </w:r>
      <w:r>
        <w:rPr>
          <w:rFonts w:ascii="David" w:cs="David" w:eastAsia="David" w:hAnsi="David"/>
          <w:sz w:val="24"/>
          <w:szCs w:val="24"/>
          <w:rtl/>
        </w:rPr>
        <w:t xml:space="preserve">הסיום הפתוח ותפיסת הזמן אצל קרת – מתאים לניתוח הסיומים של שני הסיפורים.</w:t>
      </w:r>
    </w:p>
    <w:p>
      <w:pPr>
        <w:pStyle w:val="Heading3"/>
        <w:bidi/>
        <w:spacing w:after="80" w:before="160" w:line="360"/>
        <w:jc w:val="right"/>
      </w:pPr>
      <w:r>
        <w:rPr>
          <w:rFonts w:ascii="David" w:cs="David" w:eastAsia="David" w:hAnsi="David"/>
          <w:b/>
          <w:bCs/>
          <w:sz w:val="24"/>
          <w:szCs w:val="24"/>
          <w:rtl/>
        </w:rPr>
        <w:t xml:space="preserve">3. Katsman, 2013</w:t>
      </w:r>
    </w:p>
    <w:p>
      <w:pPr>
        <w:spacing w:after="160" w:line="360"/>
        <w:ind w:left="720" w:hanging="720"/>
        <w:jc w:val="left"/>
      </w:pPr>
      <w:r>
        <w:rPr>
          <w:rFonts w:ascii="David" w:cs="David" w:eastAsia="David" w:hAnsi="David"/>
          <w:sz w:val="24"/>
          <w:szCs w:val="24"/>
        </w:rPr>
        <w:t xml:space="preserve">Katsman, R. (2013). Etgar Keret: The minimal metaphysical origin. </w:t>
      </w:r>
      <w:r>
        <w:rPr>
          <w:rFonts w:ascii="David" w:cs="David" w:eastAsia="David" w:hAnsi="David"/>
          <w:i/>
          <w:iCs/>
          <w:sz w:val="24"/>
          <w:szCs w:val="24"/>
        </w:rPr>
        <w:t xml:space="preserve">Symposium: A Quarterly Journal in Modern Literatures, 67</w:t>
      </w:r>
      <w:r>
        <w:rPr>
          <w:rFonts w:ascii="David" w:cs="David" w:eastAsia="David" w:hAnsi="David"/>
          <w:sz w:val="24"/>
          <w:szCs w:val="24"/>
        </w:rPr>
        <w:t xml:space="preserve">(4), 189–204.</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טקסט מלא בעמוד המחבר ב-Academia.edu / ResearchGate; דרך ספריית המכללה (Taylor &amp; Francis)</w:t>
      </w:r>
    </w:p>
    <w:p>
      <w:pPr>
        <w:spacing w:after="80" w:line="360"/>
        <w:jc w:val="left"/>
      </w:pPr>
      <w:hyperlink w:history="1" r:id="rIdxal7r0vcyglbfouanyaq_">
        <w:r>
          <w:rPr>
            <w:rFonts w:ascii="David" w:cs="David" w:eastAsia="David" w:hAnsi="David"/>
            <w:color w:val="0563C1"/>
            <w:sz w:val="24"/>
            <w:szCs w:val="24"/>
            <w:u w:val="single"/>
          </w:rPr>
          <w:t xml:space="preserve">https://www.academia.edu/28109304/Etgar_Keret_The_Minimal_Metaphysical_Origin</w:t>
        </w:r>
      </w:hyperlink>
    </w:p>
    <w:p>
      <w:pPr>
        <w:bidi/>
        <w:spacing w:after="160" w:line="360"/>
        <w:jc w:val="both"/>
      </w:pPr>
      <w:r>
        <w:rPr>
          <w:rFonts w:ascii="David" w:cs="David" w:eastAsia="David" w:hAnsi="David"/>
          <w:b/>
          <w:bCs/>
          <w:sz w:val="24"/>
          <w:szCs w:val="24"/>
          <w:rtl/>
        </w:rPr>
        <w:t xml:space="preserve">למה: </w:t>
      </w:r>
      <w:r>
        <w:rPr>
          <w:rFonts w:ascii="David" w:cs="David" w:eastAsia="David" w:hAnsi="David"/>
          <w:sz w:val="24"/>
          <w:szCs w:val="24"/>
          <w:rtl/>
        </w:rPr>
        <w:t xml:space="preserve">הגרסה האנגלית המורחבת של הטיעון על המיתוס והמינימום אצל קרת.</w:t>
      </w:r>
    </w:p>
    <w:p>
      <w:pPr>
        <w:pStyle w:val="Heading3"/>
        <w:bidi/>
        <w:spacing w:after="80" w:before="160" w:line="360"/>
        <w:jc w:val="right"/>
      </w:pPr>
      <w:r>
        <w:rPr>
          <w:rFonts w:ascii="David" w:cs="David" w:eastAsia="David" w:hAnsi="David"/>
          <w:b/>
          <w:bCs/>
          <w:sz w:val="24"/>
          <w:szCs w:val="24"/>
          <w:rtl/>
        </w:rPr>
        <w:t xml:space="preserve">4. מנדלסון-מעוז, 1998</w:t>
      </w:r>
    </w:p>
    <w:p>
      <w:pPr>
        <w:bidi/>
        <w:spacing w:after="160" w:line="360"/>
        <w:ind w:left="720" w:hanging="720"/>
        <w:jc w:val="right"/>
      </w:pPr>
      <w:r>
        <w:rPr>
          <w:rFonts w:ascii="David" w:cs="David" w:eastAsia="David" w:hAnsi="David"/>
          <w:sz w:val="24"/>
          <w:szCs w:val="24"/>
          <w:rtl/>
        </w:rPr>
        <w:t xml:space="preserve">מנדלסון-מעוז, ע' (1998). סיטואציות קיצוניות, זוועתיות וגרוטסקיות ביצירותיהם של קסטל-בלום וקרת. </w:t>
      </w:r>
      <w:r>
        <w:rPr>
          <w:rFonts w:ascii="David" w:cs="David" w:eastAsia="David" w:hAnsi="David"/>
          <w:i/>
          <w:iCs/>
          <w:sz w:val="24"/>
          <w:szCs w:val="24"/>
          <w:rtl/>
        </w:rPr>
        <w:t xml:space="preserve">דפים למחקר בספרות</w:t>
      </w:r>
      <w:r>
        <w:rPr>
          <w:rFonts w:ascii="David" w:cs="David" w:eastAsia="David" w:hAnsi="David"/>
          <w:sz w:val="24"/>
          <w:szCs w:val="24"/>
          <w:rtl/>
        </w:rPr>
        <w:t xml:space="preserve">, 11, 269–295.</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טקסט מלא ב-JSTOR דרך ספריית המכללה (לא גישה פתוחה)</w:t>
      </w:r>
    </w:p>
    <w:p>
      <w:pPr>
        <w:spacing w:after="80" w:line="360"/>
        <w:jc w:val="left"/>
      </w:pPr>
      <w:hyperlink w:history="1" r:id="rIdgwzwhmjpfj_rljchvhqvu">
        <w:r>
          <w:rPr>
            <w:rFonts w:ascii="David" w:cs="David" w:eastAsia="David" w:hAnsi="David"/>
            <w:color w:val="0563C1"/>
            <w:sz w:val="24"/>
            <w:szCs w:val="24"/>
            <w:u w:val="single"/>
          </w:rPr>
          <w:t xml:space="preserve">https://www.jstor.org/journal/dapimlemehkarbes</w:t>
        </w:r>
      </w:hyperlink>
    </w:p>
    <w:p>
      <w:pPr>
        <w:bidi/>
        <w:spacing w:after="160" w:line="360"/>
        <w:jc w:val="both"/>
      </w:pPr>
      <w:r>
        <w:rPr>
          <w:rFonts w:ascii="David" w:cs="David" w:eastAsia="David" w:hAnsi="David"/>
          <w:b/>
          <w:bCs/>
          <w:sz w:val="24"/>
          <w:szCs w:val="24"/>
          <w:rtl/>
        </w:rPr>
        <w:t xml:space="preserve">למה: </w:t>
      </w:r>
      <w:r>
        <w:rPr>
          <w:rFonts w:ascii="David" w:cs="David" w:eastAsia="David" w:hAnsi="David"/>
          <w:sz w:val="24"/>
          <w:szCs w:val="24"/>
          <w:rtl/>
        </w:rPr>
        <w:t xml:space="preserve">המאמר העברי הקלאסי על מצבי קיצון וגרוטסקה אצל קרת; מומלץ מאוד אם יש גישה ל-JSTOR.</w:t>
      </w:r>
    </w:p>
    <w:p>
      <w:pPr>
        <w:pStyle w:val="Heading3"/>
        <w:bidi/>
        <w:spacing w:after="80" w:before="160" w:line="360"/>
        <w:jc w:val="right"/>
      </w:pPr>
      <w:r>
        <w:rPr>
          <w:rFonts w:ascii="David" w:cs="David" w:eastAsia="David" w:hAnsi="David"/>
          <w:b/>
          <w:bCs/>
          <w:sz w:val="24"/>
          <w:szCs w:val="24"/>
          <w:rtl/>
        </w:rPr>
        <w:t xml:space="preserve">5. Peleg, 2008</w:t>
      </w:r>
    </w:p>
    <w:p>
      <w:pPr>
        <w:spacing w:after="160" w:line="360"/>
        <w:ind w:left="720" w:hanging="720"/>
        <w:jc w:val="left"/>
      </w:pPr>
      <w:r>
        <w:rPr>
          <w:rFonts w:ascii="David" w:cs="David" w:eastAsia="David" w:hAnsi="David"/>
          <w:sz w:val="24"/>
          <w:szCs w:val="24"/>
        </w:rPr>
        <w:t xml:space="preserve">Peleg, Y. (2008). Love, suddenly: Etgar Keret invents Hebrew romance. </w:t>
      </w:r>
      <w:r>
        <w:rPr>
          <w:rFonts w:ascii="David" w:cs="David" w:eastAsia="David" w:hAnsi="David"/>
          <w:i/>
          <w:iCs/>
          <w:sz w:val="24"/>
          <w:szCs w:val="24"/>
        </w:rPr>
        <w:t xml:space="preserve">Hebrew Studies, 49</w:t>
      </w:r>
      <w:r>
        <w:rPr>
          <w:rFonts w:ascii="David" w:cs="David" w:eastAsia="David" w:hAnsi="David"/>
          <w:sz w:val="24"/>
          <w:szCs w:val="24"/>
        </w:rPr>
        <w:t xml:space="preserve">, 143–164.</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JSTOR / Project MUSE דרך ספריית המכללה; עותק בעמוד המחבר ב-Academia.edu</w:t>
      </w:r>
    </w:p>
    <w:p>
      <w:pPr>
        <w:spacing w:after="80" w:line="360"/>
        <w:jc w:val="left"/>
      </w:pPr>
      <w:hyperlink w:history="1" r:id="rId_pxlhatsebcs48d5nji0o">
        <w:r>
          <w:rPr>
            <w:rFonts w:ascii="David" w:cs="David" w:eastAsia="David" w:hAnsi="David"/>
            <w:color w:val="0563C1"/>
            <w:sz w:val="24"/>
            <w:szCs w:val="24"/>
            <w:u w:val="single"/>
          </w:rPr>
          <w:t xml:space="preserve">https://www.academia.edu/11858873/Love_Suddenly_Etgar_Keret_Invents_Hebrew_Romance</w:t>
        </w:r>
      </w:hyperlink>
    </w:p>
    <w:p>
      <w:pPr>
        <w:bidi/>
        <w:spacing w:after="160" w:line="360"/>
        <w:jc w:val="both"/>
      </w:pPr>
      <w:r>
        <w:rPr>
          <w:rFonts w:ascii="David" w:cs="David" w:eastAsia="David" w:hAnsi="David"/>
          <w:b/>
          <w:bCs/>
          <w:sz w:val="24"/>
          <w:szCs w:val="24"/>
          <w:rtl/>
        </w:rPr>
        <w:t xml:space="preserve">למה: </w:t>
      </w:r>
      <w:r>
        <w:rPr>
          <w:rFonts w:ascii="David" w:cs="David" w:eastAsia="David" w:hAnsi="David"/>
          <w:sz w:val="24"/>
          <w:szCs w:val="24"/>
          <w:rtl/>
        </w:rPr>
        <w:t xml:space="preserve">יחסים ואינטימיות אצל קרת – רלוונטי ל"אנחנו" המדומה ב"מי כמונו יודע".</w:t>
      </w:r>
    </w:p>
    <w:p>
      <w:pPr>
        <w:pStyle w:val="Heading3"/>
        <w:bidi/>
        <w:spacing w:after="80" w:before="160" w:line="360"/>
        <w:jc w:val="right"/>
      </w:pPr>
      <w:r>
        <w:rPr>
          <w:rFonts w:ascii="David" w:cs="David" w:eastAsia="David" w:hAnsi="David"/>
          <w:b/>
          <w:bCs/>
          <w:sz w:val="24"/>
          <w:szCs w:val="24"/>
          <w:rtl/>
        </w:rPr>
        <w:t xml:space="preserve">6. Rubin, 1999</w:t>
      </w:r>
    </w:p>
    <w:p>
      <w:pPr>
        <w:spacing w:after="160" w:line="360"/>
        <w:ind w:left="720" w:hanging="720"/>
        <w:jc w:val="left"/>
      </w:pPr>
      <w:r>
        <w:rPr>
          <w:rFonts w:ascii="David" w:cs="David" w:eastAsia="David" w:hAnsi="David"/>
          <w:sz w:val="24"/>
          <w:szCs w:val="24"/>
        </w:rPr>
        <w:t xml:space="preserve">Rubin, S. S. (1999). The two-track model of bereavement: Overview, retrospect, and prospect. </w:t>
      </w:r>
      <w:r>
        <w:rPr>
          <w:rFonts w:ascii="David" w:cs="David" w:eastAsia="David" w:hAnsi="David"/>
          <w:i/>
          <w:iCs/>
          <w:sz w:val="24"/>
          <w:szCs w:val="24"/>
        </w:rPr>
        <w:t xml:space="preserve">Death Studies, 23</w:t>
      </w:r>
      <w:r>
        <w:rPr>
          <w:rFonts w:ascii="David" w:cs="David" w:eastAsia="David" w:hAnsi="David"/>
          <w:sz w:val="24"/>
          <w:szCs w:val="24"/>
        </w:rPr>
        <w:t xml:space="preserve">(8), 681–714. https://doi.org/10.1080/074811899200731</w:t>
      </w:r>
    </w:p>
    <w:p>
      <w:pPr>
        <w:bidi/>
        <w:spacing w:after="120" w:line="360"/>
        <w:jc w:val="both"/>
      </w:pPr>
      <w:r>
        <w:rPr>
          <w:rFonts w:ascii="David" w:cs="David" w:eastAsia="David" w:hAnsi="David"/>
          <w:b/>
          <w:bCs/>
          <w:sz w:val="24"/>
          <w:szCs w:val="24"/>
          <w:rtl/>
        </w:rPr>
        <w:t xml:space="preserve">גישה: </w:t>
      </w:r>
      <w:r>
        <w:rPr>
          <w:rFonts w:ascii="David" w:cs="David" w:eastAsia="David" w:hAnsi="David"/>
          <w:sz w:val="24"/>
          <w:szCs w:val="24"/>
          <w:rtl/>
        </w:rPr>
        <w:t xml:space="preserve">Taylor &amp; Francis דרך ספריית המכללה; רשומה במאגר CRIS של אוניברסיטת חיפה</w:t>
      </w:r>
    </w:p>
    <w:p>
      <w:pPr>
        <w:spacing w:after="80" w:line="360"/>
        <w:jc w:val="left"/>
      </w:pPr>
      <w:hyperlink w:history="1" r:id="rId9vxgksp2pbo-hgszpwyhc">
        <w:r>
          <w:rPr>
            <w:rFonts w:ascii="David" w:cs="David" w:eastAsia="David" w:hAnsi="David"/>
            <w:color w:val="0563C1"/>
            <w:sz w:val="24"/>
            <w:szCs w:val="24"/>
            <w:u w:val="single"/>
          </w:rPr>
          <w:t xml:space="preserve">https://doi.org/10.1080/074811899200731</w:t>
        </w:r>
      </w:hyperlink>
    </w:p>
    <w:p>
      <w:pPr>
        <w:bidi/>
        <w:spacing w:after="160" w:line="360"/>
        <w:jc w:val="both"/>
      </w:pPr>
      <w:r>
        <w:rPr>
          <w:rFonts w:ascii="David" w:cs="David" w:eastAsia="David" w:hAnsi="David"/>
          <w:b/>
          <w:bCs/>
          <w:sz w:val="24"/>
          <w:szCs w:val="24"/>
          <w:rtl/>
        </w:rPr>
        <w:t xml:space="preserve">למה: </w:t>
      </w:r>
      <w:r>
        <w:rPr>
          <w:rFonts w:ascii="David" w:cs="David" w:eastAsia="David" w:hAnsi="David"/>
          <w:sz w:val="24"/>
          <w:szCs w:val="24"/>
          <w:rtl/>
        </w:rPr>
        <w:t xml:space="preserve">המודל הדו-מסלולי של שכול – הבסיס התאורטי לפרק על אובדן.</w:t>
      </w:r>
    </w:p>
    <w:p>
      <w:r>
        <w:br w:type="page"/>
      </w:r>
    </w:p>
    <w:p>
      <w:pPr>
        <w:pStyle w:val="Heading1"/>
        <w:bidi/>
        <w:spacing w:after="200" w:before="360" w:line="360"/>
        <w:jc w:val="right"/>
      </w:pPr>
      <w:r>
        <w:rPr>
          <w:rFonts w:ascii="David" w:cs="David" w:eastAsia="David" w:hAnsi="David"/>
          <w:b/>
          <w:bCs/>
          <w:sz w:val="32"/>
          <w:szCs w:val="32"/>
          <w:rtl/>
        </w:rPr>
        <w:t xml:space="preserve">ג. רשימת המקורות כפי שתופיע בעבודה (APA 7)</w:t>
      </w:r>
    </w:p>
    <w:p>
      <w:pPr>
        <w:bidi/>
        <w:spacing w:after="120" w:line="360"/>
        <w:jc w:val="both"/>
      </w:pPr>
      <w:r>
        <w:rPr>
          <w:rFonts w:ascii="David" w:cs="David" w:eastAsia="David" w:hAnsi="David"/>
          <w:sz w:val="24"/>
          <w:szCs w:val="24"/>
          <w:rtl/>
        </w:rPr>
        <w:t xml:space="preserve">שני הסיפורים ושישה המאמרים, לפי הכללים: מקורות בעברית לפי סדר אלף-בית ואחריהם מקורות באנגלית לפי סדר ה-ABC, ללא מספור, בהזחה תלויה. פריטים באנגלית מיושרים לשמאל.</w:t>
      </w:r>
    </w:p>
    <w:p>
      <w:pPr>
        <w:bidi/>
        <w:spacing w:after="160" w:line="360"/>
        <w:ind w:left="720" w:hanging="720"/>
        <w:jc w:val="right"/>
      </w:pPr>
      <w:r>
        <w:rPr>
          <w:rFonts w:ascii="David" w:cs="David" w:eastAsia="David" w:hAnsi="David"/>
          <w:sz w:val="24"/>
          <w:szCs w:val="24"/>
          <w:rtl/>
        </w:rPr>
        <w:t xml:space="preserve">כהן, ד' (2015). בשני צירים שונים: תהליך האבל והתקשורת של הורים ואחים שכולים לאחר אבדן ילד בוגר. </w:t>
      </w:r>
      <w:r>
        <w:rPr>
          <w:rFonts w:ascii="David" w:cs="David" w:eastAsia="David" w:hAnsi="David"/>
          <w:i/>
          <w:iCs/>
          <w:sz w:val="24"/>
          <w:szCs w:val="24"/>
          <w:rtl/>
        </w:rPr>
        <w:t xml:space="preserve">מפגש לעבודה חינוכית-סוציאלית</w:t>
      </w:r>
      <w:r>
        <w:rPr>
          <w:rFonts w:ascii="David" w:cs="David" w:eastAsia="David" w:hAnsi="David"/>
          <w:sz w:val="24"/>
          <w:szCs w:val="24"/>
          <w:rtl/>
        </w:rPr>
        <w:t xml:space="preserve">, כג(41), 97-130.</w:t>
      </w:r>
    </w:p>
    <w:p>
      <w:pPr>
        <w:bidi/>
        <w:spacing w:after="160" w:line="360"/>
        <w:ind w:left="720" w:hanging="720"/>
        <w:jc w:val="right"/>
      </w:pPr>
      <w:r>
        <w:rPr>
          <w:rFonts w:ascii="David" w:cs="David" w:eastAsia="David" w:hAnsi="David"/>
          <w:sz w:val="24"/>
          <w:szCs w:val="24"/>
          <w:rtl/>
        </w:rPr>
        <w:t xml:space="preserve">כצמן, ר' (2005). געגועים למיתוס: אישיות, אתיקה ואידיאולוגיה במיתופואסיס הפוסטמודרני של אתגר קרת. </w:t>
      </w:r>
      <w:r>
        <w:rPr>
          <w:rFonts w:ascii="David" w:cs="David" w:eastAsia="David" w:hAnsi="David"/>
          <w:i/>
          <w:iCs/>
          <w:sz w:val="24"/>
          <w:szCs w:val="24"/>
          <w:rtl/>
        </w:rPr>
        <w:t xml:space="preserve">מכאן</w:t>
      </w:r>
      <w:r>
        <w:rPr>
          <w:rFonts w:ascii="David" w:cs="David" w:eastAsia="David" w:hAnsi="David"/>
          <w:sz w:val="24"/>
          <w:szCs w:val="24"/>
          <w:rtl/>
        </w:rPr>
        <w:t xml:space="preserve">, ד, 20-41.</w:t>
      </w:r>
    </w:p>
    <w:p>
      <w:pPr>
        <w:bidi/>
        <w:spacing w:after="160" w:line="360"/>
        <w:ind w:left="720" w:hanging="720"/>
        <w:jc w:val="right"/>
      </w:pPr>
      <w:r>
        <w:rPr>
          <w:rFonts w:ascii="David" w:cs="David" w:eastAsia="David" w:hAnsi="David"/>
          <w:sz w:val="24"/>
          <w:szCs w:val="24"/>
          <w:rtl/>
        </w:rPr>
        <w:t xml:space="preserve">קרת, א' (1994). האנשים החלולים. בתוך </w:t>
      </w:r>
      <w:r>
        <w:rPr>
          <w:rFonts w:ascii="David" w:cs="David" w:eastAsia="David" w:hAnsi="David"/>
          <w:i/>
          <w:iCs/>
          <w:sz w:val="24"/>
          <w:szCs w:val="24"/>
          <w:rtl/>
        </w:rPr>
        <w:t xml:space="preserve">געגועי לקיסינג'ר</w:t>
      </w:r>
      <w:r>
        <w:rPr>
          <w:rFonts w:ascii="David" w:cs="David" w:eastAsia="David" w:hAnsi="David"/>
          <w:sz w:val="24"/>
          <w:szCs w:val="24"/>
          <w:rtl/>
        </w:rPr>
        <w:t xml:space="preserve"> (עמ' 16-17). זמורה-ביתן.</w:t>
      </w:r>
    </w:p>
    <w:p>
      <w:pPr>
        <w:bidi/>
        <w:spacing w:after="160" w:line="360"/>
        <w:ind w:left="720" w:hanging="720"/>
        <w:jc w:val="right"/>
      </w:pPr>
      <w:r>
        <w:rPr>
          <w:rFonts w:ascii="David" w:cs="David" w:eastAsia="David" w:hAnsi="David"/>
          <w:sz w:val="24"/>
          <w:szCs w:val="24"/>
          <w:rtl/>
        </w:rPr>
        <w:t xml:space="preserve">קרת, א' (2024). מי כמונו יודע. בתוך </w:t>
      </w:r>
      <w:r>
        <w:rPr>
          <w:rFonts w:ascii="David" w:cs="David" w:eastAsia="David" w:hAnsi="David"/>
          <w:i/>
          <w:iCs/>
          <w:sz w:val="24"/>
          <w:szCs w:val="24"/>
          <w:rtl/>
        </w:rPr>
        <w:t xml:space="preserve">אוטוקורקט</w:t>
      </w:r>
      <w:r>
        <w:rPr>
          <w:rFonts w:ascii="David" w:cs="David" w:eastAsia="David" w:hAnsi="David"/>
          <w:sz w:val="24"/>
          <w:szCs w:val="24"/>
          <w:rtl/>
        </w:rPr>
        <w:t xml:space="preserve"> (עמ' ___–___). כנרת, זמורה-ביתן, דביר.</w:t>
      </w:r>
    </w:p>
    <w:p>
      <w:pPr>
        <w:spacing w:after="160" w:line="360"/>
        <w:ind w:left="720" w:hanging="720"/>
        <w:jc w:val="left"/>
      </w:pPr>
      <w:r>
        <w:rPr>
          <w:rFonts w:ascii="David" w:cs="David" w:eastAsia="David" w:hAnsi="David"/>
          <w:sz w:val="24"/>
          <w:szCs w:val="24"/>
        </w:rPr>
        <w:t xml:space="preserve">Abramovich, D. (2019). Israeli Holocaust memory in a short story by Etgar Keret. </w:t>
      </w:r>
      <w:r>
        <w:rPr>
          <w:rFonts w:ascii="David" w:cs="David" w:eastAsia="David" w:hAnsi="David"/>
          <w:i/>
          <w:iCs/>
          <w:sz w:val="24"/>
          <w:szCs w:val="24"/>
        </w:rPr>
        <w:t xml:space="preserve">Australian Journal of Jewish Studies, 32</w:t>
      </w:r>
      <w:r>
        <w:rPr>
          <w:rFonts w:ascii="David" w:cs="David" w:eastAsia="David" w:hAnsi="David"/>
          <w:sz w:val="24"/>
          <w:szCs w:val="24"/>
        </w:rPr>
        <w:t xml:space="preserve">, 21–33.</w:t>
      </w:r>
    </w:p>
    <w:p>
      <w:pPr>
        <w:spacing w:after="160" w:line="360"/>
        <w:ind w:left="720" w:hanging="720"/>
        <w:jc w:val="left"/>
      </w:pPr>
      <w:r>
        <w:rPr>
          <w:rFonts w:ascii="David" w:cs="David" w:eastAsia="David" w:hAnsi="David"/>
          <w:sz w:val="24"/>
          <w:szCs w:val="24"/>
        </w:rPr>
        <w:t xml:space="preserve">Mendelson-Maoz, A. (2018). Keret's "living-dead" and the sacrifice of Israeli masculinity. </w:t>
      </w:r>
      <w:r>
        <w:rPr>
          <w:rFonts w:ascii="David" w:cs="David" w:eastAsia="David" w:hAnsi="David"/>
          <w:i/>
          <w:iCs/>
          <w:sz w:val="24"/>
          <w:szCs w:val="24"/>
        </w:rPr>
        <w:t xml:space="preserve">BGU Review: A Journal of Israeli Culture</w:t>
      </w:r>
      <w:r>
        <w:rPr>
          <w:rFonts w:ascii="David" w:cs="David" w:eastAsia="David" w:hAnsi="David"/>
          <w:sz w:val="24"/>
          <w:szCs w:val="24"/>
        </w:rPr>
        <w:t xml:space="preserve">, Winter 2018. https://in.bgu.ac.il/en/heksherim/BGU%20Review%202018/Adia-Mendelson-Maoz-BGUR.pdf</w:t>
      </w:r>
    </w:p>
    <w:p>
      <w:pPr>
        <w:spacing w:after="160" w:line="360"/>
        <w:ind w:left="720" w:hanging="720"/>
        <w:jc w:val="left"/>
      </w:pPr>
      <w:r>
        <w:rPr>
          <w:rFonts w:ascii="David" w:cs="David" w:eastAsia="David" w:hAnsi="David"/>
          <w:sz w:val="24"/>
          <w:szCs w:val="24"/>
        </w:rPr>
        <w:t xml:space="preserve">Omer-Sherman, R. (2020). "To extract from it some sort of beautiful thing": The Holocaust in the families and fiction of Nava Semel and Etgar Keret. </w:t>
      </w:r>
      <w:r>
        <w:rPr>
          <w:rFonts w:ascii="David" w:cs="David" w:eastAsia="David" w:hAnsi="David"/>
          <w:i/>
          <w:iCs/>
          <w:sz w:val="24"/>
          <w:szCs w:val="24"/>
        </w:rPr>
        <w:t xml:space="preserve">Humanities, 9</w:t>
      </w:r>
      <w:r>
        <w:rPr>
          <w:rFonts w:ascii="David" w:cs="David" w:eastAsia="David" w:hAnsi="David"/>
          <w:sz w:val="24"/>
          <w:szCs w:val="24"/>
        </w:rPr>
        <w:t xml:space="preserve">(4), Article 137. https://doi.org/10.3390/h9040137</w:t>
      </w:r>
    </w:p>
    <w:p>
      <w:pPr>
        <w:spacing w:after="160" w:line="360"/>
        <w:ind w:left="720" w:hanging="720"/>
        <w:jc w:val="left"/>
      </w:pPr>
      <w:r>
        <w:rPr>
          <w:rFonts w:ascii="David" w:cs="David" w:eastAsia="David" w:hAnsi="David"/>
          <w:sz w:val="24"/>
          <w:szCs w:val="24"/>
        </w:rPr>
        <w:t xml:space="preserve">Schwartz, Y. (2018). "A story or a bullet between the eyes": Etgar Keret: Repetitiveness, morality, and postmodernism. </w:t>
      </w:r>
      <w:r>
        <w:rPr>
          <w:rFonts w:ascii="David" w:cs="David" w:eastAsia="David" w:hAnsi="David"/>
          <w:i/>
          <w:iCs/>
          <w:sz w:val="24"/>
          <w:szCs w:val="24"/>
        </w:rPr>
        <w:t xml:space="preserve">BGU Review: A Journal of Israeli Culture</w:t>
      </w:r>
      <w:r>
        <w:rPr>
          <w:rFonts w:ascii="David" w:cs="David" w:eastAsia="David" w:hAnsi="David"/>
          <w:sz w:val="24"/>
          <w:szCs w:val="24"/>
        </w:rPr>
        <w:t xml:space="preserve">, Winter 2018, 1-24. (Original work published 2017 in Hebrew Studies, 58, 425-443)</w:t>
      </w:r>
    </w:p>
    <w:p>
      <w:pPr>
        <w:pStyle w:val="Heading2"/>
        <w:bidi/>
        <w:spacing w:after="120" w:before="240" w:line="360"/>
        <w:jc w:val="right"/>
      </w:pPr>
      <w:r>
        <w:rPr>
          <w:rFonts w:ascii="David" w:cs="David" w:eastAsia="David" w:hAnsi="David"/>
          <w:b/>
          <w:bCs/>
          <w:sz w:val="28"/>
          <w:szCs w:val="28"/>
          <w:rtl/>
        </w:rPr>
        <w:t xml:space="preserve">איך לאזכר בגוף העבודה</w:t>
      </w:r>
    </w:p>
    <w:p>
      <w:pPr>
        <w:pStyle w:val="ListParagraph"/>
        <w:numPr>
          <w:ilvl w:val="0"/>
          <w:numId w:val="2"/>
        </w:numPr>
        <w:bidi/>
        <w:spacing w:after="60" w:line="360"/>
        <w:jc w:val="both"/>
      </w:pPr>
      <w:r>
        <w:rPr>
          <w:rFonts w:ascii="David" w:cs="David" w:eastAsia="David" w:hAnsi="David"/>
          <w:sz w:val="24"/>
          <w:szCs w:val="24"/>
          <w:rtl/>
        </w:rPr>
        <w:t xml:space="preserve">בסוגריים: (כצמן, 2005); (כהן, 2015); (Schwartz, 2018); (Omer-Sherman, 2020).</w:t>
      </w:r>
    </w:p>
    <w:p>
      <w:pPr>
        <w:pStyle w:val="ListParagraph"/>
        <w:numPr>
          <w:ilvl w:val="0"/>
          <w:numId w:val="2"/>
        </w:numPr>
        <w:bidi/>
        <w:spacing w:after="60" w:line="360"/>
        <w:jc w:val="both"/>
      </w:pPr>
      <w:r>
        <w:rPr>
          <w:rFonts w:ascii="David" w:cs="David" w:eastAsia="David" w:hAnsi="David"/>
          <w:sz w:val="24"/>
          <w:szCs w:val="24"/>
          <w:rtl/>
        </w:rPr>
        <w:t xml:space="preserve">בנראטיב: כצמן (2005) טוען כי...; מנדלסון-מעוז (Mendelson-Maoz, 2018) מראה ש...</w:t>
      </w:r>
    </w:p>
    <w:p>
      <w:pPr>
        <w:pStyle w:val="ListParagraph"/>
        <w:numPr>
          <w:ilvl w:val="0"/>
          <w:numId w:val="2"/>
        </w:numPr>
        <w:bidi/>
        <w:spacing w:after="60" w:line="360"/>
        <w:jc w:val="both"/>
      </w:pPr>
      <w:r>
        <w:rPr>
          <w:rFonts w:ascii="David" w:cs="David" w:eastAsia="David" w:hAnsi="David"/>
          <w:sz w:val="24"/>
          <w:szCs w:val="24"/>
          <w:rtl/>
        </w:rPr>
        <w:t xml:space="preserve">ציטוט ישיר מן הסיפור: "אין ממה לפחד, זה בסך הכול האנשים החלולים" (קרת, 1994, עמ' 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lvl w:ilvl="1" w15:tentative="1">
      <w:start w:val="1"/>
      <w:numFmt w:val="bullet"/>
      <w:lvlText w:val="–"/>
      <w:lvlJc w:val="right"/>
      <w:pPr>
        <w:ind w:left="144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David" w:cs="David" w:eastAsia="David" w:hAnsi="David"/>
      <w:b/>
      <w:bCs/>
      <w:color w:val="000000"/>
      <w:sz w:val="32"/>
      <w:szCs w:val="32"/>
    </w:rPr>
  </w:style>
  <w:style w:type="paragraph" w:styleId="Heading2">
    <w:name w:val="Heading 2"/>
    <w:basedOn w:val="Normal"/>
    <w:next w:val="Normal"/>
    <w:qFormat/>
    <w:pPr>
      <w:spacing w:after="120" w:before="240"/>
      <w:outlineLvl w:val="1"/>
    </w:pPr>
    <w:rPr>
      <w:rFonts w:ascii="David" w:cs="David" w:eastAsia="David" w:hAnsi="David"/>
      <w:b/>
      <w:bCs/>
      <w:color w:val="000000"/>
      <w:sz w:val="28"/>
      <w:szCs w:val="28"/>
    </w:rPr>
  </w:style>
  <w:style w:type="paragraph" w:styleId="Heading3">
    <w:name w:val="Heading 3"/>
    <w:basedOn w:val="Normal"/>
    <w:next w:val="Normal"/>
    <w:qFormat/>
    <w:pPr>
      <w:spacing w:after="80" w:before="160"/>
      <w:outlineLvl w:val="2"/>
    </w:pPr>
    <w:rPr>
      <w:rFonts w:ascii="David" w:cs="David" w:eastAsia="David" w:hAnsi="David"/>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yqtxa0zxks_gkykwhxdd" Type="http://schemas.openxmlformats.org/officeDocument/2006/relationships/hyperlink" Target="https://library.osu.edu/projects/hebrew-lexicon/99995-files/99995095/99995095-004/99995095-004-020-041.pdf" TargetMode="External"/><Relationship Id="rIdy5u-ayy_hqpnr6gjjbarr" Type="http://schemas.openxmlformats.org/officeDocument/2006/relationships/hyperlink" Target="https://kitvei-et.efshar.org.il/wp-content/uploads/Mifgash-41-05-&#1489;&#1513;&#1504;&#1497;-&#1510;&#1497;&#1512;&#1497;&#1501;-&#1488;&#1489;&#1500;-&#1492;&#1493;&#1512;&#1497;&#1501;-&#1493;&#1488;&#1495;&#1497;&#1501;-&#1499;&#1492;&#1503;.pdf" TargetMode="External"/><Relationship Id="rIdhd4kv4acao-r6tqwvya6i" Type="http://schemas.openxmlformats.org/officeDocument/2006/relationships/hyperlink" Target="http://www.aajs.org.au/wp-content/uploads/2020/03/AJJSvol32_Abramovich_21-33.pdf" TargetMode="External"/><Relationship Id="rIdfjjwdqkemvorc_1t_oa62" Type="http://schemas.openxmlformats.org/officeDocument/2006/relationships/hyperlink" Target="https://in.bgu.ac.il/en/heksherim/BGU%20Review%202018/Adia-Mendelson-Maoz-BGUR.pdf" TargetMode="External"/><Relationship Id="rIdbgk2oufttamdr7lvrubcw" Type="http://schemas.openxmlformats.org/officeDocument/2006/relationships/hyperlink" Target="https://doi.org/10.3390/h9040137" TargetMode="External"/><Relationship Id="rIdaamqhlf3i5g3chxrj7jzv" Type="http://schemas.openxmlformats.org/officeDocument/2006/relationships/hyperlink" Target="https://www.bgu.ac.il/media/zpjot1iw/yigal-schwartz-bgur.pdf" TargetMode="External"/><Relationship Id="rIdrtmjfr6cnho8qovq-uody" Type="http://schemas.openxmlformats.org/officeDocument/2006/relationships/hyperlink" Target="https://in.bgu.ac.il/en/heksherim/BGU%20Review%202018/Nurit-Buchweitz-BGUR.pdf" TargetMode="External"/><Relationship Id="rIdn7wmrrrrofzmpy5sei0dm" Type="http://schemas.openxmlformats.org/officeDocument/2006/relationships/hyperlink" Target="https://arcade.stanford.edu/dibur/sense-no-ending-part-2-etgar-keret-and-changing-concept-time-contemporary-hebrew-literature" TargetMode="External"/><Relationship Id="rIdxal7r0vcyglbfouanyaq_" Type="http://schemas.openxmlformats.org/officeDocument/2006/relationships/hyperlink" Target="https://www.academia.edu/28109304/Etgar_Keret_The_Minimal_Metaphysical_Origin" TargetMode="External"/><Relationship Id="rIdgwzwhmjpfj_rljchvhqvu" Type="http://schemas.openxmlformats.org/officeDocument/2006/relationships/hyperlink" Target="https://www.jstor.org/journal/dapimlemehkarbes" TargetMode="External"/><Relationship Id="rId_pxlhatsebcs48d5nji0o" Type="http://schemas.openxmlformats.org/officeDocument/2006/relationships/hyperlink" Target="https://www.academia.edu/11858873/Love_Suddenly_Etgar_Keret_Invents_Hebrew_Romance" TargetMode="External"/><Relationship Id="rId9vxgksp2pbo-hgszpwyhc" Type="http://schemas.openxmlformats.org/officeDocument/2006/relationships/hyperlink" Target="https://doi.org/10.1080/074811899200731"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רשימת מאמרים שפיטים – אתגר קרת</dc:title>
  <dc:creator>Seminar</dc:creator>
  <cp:lastModifiedBy>Un-named</cp:lastModifiedBy>
  <cp:revision>1</cp:revision>
  <dcterms:created xsi:type="dcterms:W3CDTF">2026-09-07T10:04:25.175Z</dcterms:created>
  <dcterms:modified xsi:type="dcterms:W3CDTF">2026-09-07T10:04:25.175Z</dcterms:modified>
</cp:coreProperties>
</file>

<file path=docProps/custom.xml><?xml version="1.0" encoding="utf-8"?>
<Properties xmlns="http://schemas.openxmlformats.org/officeDocument/2006/custom-properties" xmlns:vt="http://schemas.openxmlformats.org/officeDocument/2006/docPropsVTypes"/>
</file>