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color w:val="000000"/>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color w:val="000000"/>
          <w:sz w:val="26"/>
          <w:szCs w:val="26"/>
          <w:rtl/>
        </w:rPr>
        <w:t xml:space="preserve">המחלקה לגיל הרך</w:t>
      </w:r>
    </w:p>
    <w:p>
      <w:pPr>
        <w:bidi/>
        <w:spacing w:after="360" w:before="0" w:line="360" w:lineRule="auto"/>
        <w:jc w:val="center"/>
      </w:pPr>
      <w:r>
        <w:rPr>
          <w:rFonts w:ascii="Times New Roman" w:cs="David" w:eastAsia="David" w:hAnsi="Times New Roman"/>
          <w:b w:val="false"/>
          <w:color w:val="000000"/>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color w:val="000000"/>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color w:val="000000"/>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color w:val="000000"/>
          <w:sz w:val="26"/>
          <w:szCs w:val="26"/>
          <w:rtl/>
        </w:rPr>
        <w:t xml:space="preserve">מנחה: ד"ר עפר גת</w:t>
      </w:r>
    </w:p>
    <w:p>
      <w:pPr>
        <w:bidi/>
        <w:spacing w:after="120" w:before="0" w:line="360" w:lineRule="auto"/>
        <w:jc w:val="center"/>
      </w:pPr>
      <w:r>
        <w:rPr>
          <w:rFonts w:ascii="Times New Roman" w:cs="David" w:eastAsia="David" w:hAnsi="Times New Roman"/>
          <w:b w:val="false"/>
          <w:color w:val="000000"/>
          <w:sz w:val="26"/>
          <w:szCs w:val="26"/>
          <w:rtl/>
        </w:rPr>
        <w:t xml:space="preserve">מגיש/ה: ______________</w:t>
      </w:r>
    </w:p>
    <w:p>
      <w:pPr>
        <w:bidi/>
        <w:spacing w:after="600" w:before="0" w:line="360" w:lineRule="auto"/>
        <w:jc w:val="center"/>
      </w:pPr>
      <w:r>
        <w:rPr>
          <w:rFonts w:ascii="Times New Roman" w:cs="David" w:eastAsia="David" w:hAnsi="Times New Roman"/>
          <w:b w:val="false"/>
          <w:color w:val="000000"/>
          <w:sz w:val="26"/>
          <w:szCs w:val="26"/>
          <w:rtl/>
        </w:rPr>
        <w:t xml:space="preserve">ת"ז: ______________</w:t>
      </w:r>
    </w:p>
    <w:p>
      <w:pPr>
        <w:bidi/>
        <w:spacing w:after="0" w:before="0" w:line="360" w:lineRule="auto"/>
        <w:jc w:val="center"/>
      </w:pPr>
      <w:r>
        <w:rPr>
          <w:rFonts w:ascii="Times New Roman" w:cs="David" w:eastAsia="David" w:hAnsi="Times New Roman"/>
          <w:b w:val="false"/>
          <w:color w:val="000000"/>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color w:val="000000"/>
          <w:sz w:val="24"/>
          <w:szCs w:val="24"/>
          <w:rtl/>
        </w:rPr>
        <w:t xml:space="preserve">הערה: לעדכון מספרי העמודים יש ללחוץ על התוכן, ללחוץ לחיצה ימנית ולבחור "עדכן שדה".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1. מבוא</w:t>
      </w:r>
    </w:p>
    <w:p>
      <w:pPr>
        <w:bidi/>
        <w:spacing w:after="0" w:before="0" w:line="480" w:lineRule="auto"/>
        <w:jc w:val="both"/>
      </w:pPr>
      <w:r>
        <w:rPr>
          <w:rFonts w:ascii="Times New Roman" w:cs="David" w:eastAsia="David" w:hAnsi="Times New Roman"/>
          <w:b w:val="false"/>
          <w:color w:val="000000"/>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color w:val="000000"/>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color w:val="000000"/>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color w:val="000000"/>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2. סקירת ספרות</w:t>
      </w:r>
    </w:p>
    <w:p>
      <w:pPr>
        <w:bidi/>
        <w:spacing w:after="0" w:before="0" w:line="480" w:lineRule="auto"/>
        <w:jc w:val="both"/>
      </w:pPr>
      <w:r>
        <w:rPr>
          <w:rFonts w:ascii="Times New Roman" w:cs="David" w:eastAsia="David" w:hAnsi="Times New Roman"/>
          <w:b w:val="false"/>
          <w:color w:val="000000"/>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2.1 המרחב הפיזי כסביבה חינוכית</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העבודה היא שהמרחב הפיזי איננו רקע ניטרלי להתרחשות החינוכית אלא שותף לה. עוד בשנות השמונים הצביעו זבה וצ'רצ'מן (1988) על הפער שבין עקרונות התכנון של חצרות בתי הספר לבין עקרונות החינוך: החצר נתפסת בעיני מתכננים ומחנכים כשטח נטול ערך ייחודי, אינה זוכה לתכנון כישות עצמאית, ולרוב היא נותרת שטוחה, חסרת צורה מוגדרת וענייה במתקנים ובצמחייה. לדבריהן, עיקר הפוטנציאל החינוכי של החצר גלום בהיותה מעין "כיכר העיר" של הילדים (זבה וצ'רצ'מן, 1988, עמ' 38): המקום שבו הילד פוגש בני גיל שונים, משחק ומשוחח, מתנהל במשא ומתן על אוספים והחלפות ומייצב את מקומו בקרב בני גילו, לצד מגע בלתי אמצעי עם הטבע. ביקורת זו, שנכתבה לפני כמעט ארבעה עשורים, עודנה מהדהדת בכתיבה העכשווית.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pStyle w:val="Heading2"/>
        <w:bidi/>
        <w:spacing w:after="0" w:before="120" w:line="480" w:lineRule="auto"/>
        <w:jc w:val="start"/>
      </w:pPr>
      <w:r>
        <w:rPr>
          <w:rFonts w:ascii="Times New Roman" w:cs="David" w:eastAsia="David" w:hAnsi="Times New Roman"/>
          <w:b/>
          <w:bCs/>
          <w:color w:val="000000"/>
          <w:sz w:val="26"/>
          <w:szCs w:val="26"/>
          <w:rtl/>
        </w:rPr>
        <w:t xml:space="preserve">2.2 חצר בית הספר וההפסקה</w:t>
      </w:r>
    </w:p>
    <w:p>
      <w:pPr>
        <w:bidi/>
        <w:spacing w:after="0" w:before="0" w:line="480" w:lineRule="auto"/>
        <w:jc w:val="both"/>
      </w:pPr>
      <w:r>
        <w:rPr>
          <w:rFonts w:ascii="Times New Roman" w:cs="David" w:eastAsia="David" w:hAnsi="Times New Roman"/>
          <w:b w:val="false"/>
          <w:color w:val="000000"/>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color w:val="000000"/>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pStyle w:val="Heading2"/>
        <w:bidi/>
        <w:spacing w:after="0" w:before="120" w:line="480" w:lineRule="auto"/>
        <w:jc w:val="start"/>
      </w:pPr>
      <w:r>
        <w:rPr>
          <w:rFonts w:ascii="Times New Roman" w:cs="David" w:eastAsia="David" w:hAnsi="Times New Roman"/>
          <w:b/>
          <w:bCs/>
          <w:color w:val="000000"/>
          <w:sz w:val="26"/>
          <w:szCs w:val="26"/>
          <w:rtl/>
        </w:rPr>
        <w:t xml:space="preserve">2.3 משחק חופשי והתפתחות חברתית בגיל בית הספר היסודי</w:t>
      </w:r>
    </w:p>
    <w:p>
      <w:pPr>
        <w:bidi/>
        <w:spacing w:after="0" w:before="0" w:line="480" w:lineRule="auto"/>
        <w:jc w:val="both"/>
      </w:pPr>
      <w:r>
        <w:rPr>
          <w:rFonts w:ascii="Times New Roman" w:cs="David" w:eastAsia="David" w:hAnsi="Times New Roman"/>
          <w:b w:val="false"/>
          <w:color w:val="000000"/>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color w:val="000000"/>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2.4 תיאוריית ההזדמנויות: הסביבה כמזמנת פעולה</w:t>
      </w:r>
    </w:p>
    <w:p>
      <w:pPr>
        <w:bidi/>
        <w:spacing w:after="0" w:before="0" w:line="480" w:lineRule="auto"/>
        <w:jc w:val="both"/>
      </w:pPr>
      <w:r>
        <w:rPr>
          <w:rFonts w:ascii="Times New Roman" w:cs="David" w:eastAsia="David" w:hAnsi="Times New Roman"/>
          <w:b w:val="false"/>
          <w:color w:val="000000"/>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color w:val="000000"/>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pStyle w:val="Heading2"/>
        <w:bidi/>
        <w:spacing w:after="0" w:before="120" w:line="480" w:lineRule="auto"/>
        <w:jc w:val="start"/>
      </w:pPr>
      <w:r>
        <w:rPr>
          <w:rFonts w:ascii="Times New Roman" w:cs="David" w:eastAsia="David" w:hAnsi="Times New Roman"/>
          <w:b/>
          <w:bCs/>
          <w:color w:val="000000"/>
          <w:sz w:val="26"/>
          <w:szCs w:val="26"/>
          <w:rtl/>
        </w:rPr>
        <w:t xml:space="preserve">2.5 אלמנטים פיזיים וטבעיים בחצר</w:t>
      </w:r>
    </w:p>
    <w:p>
      <w:pPr>
        <w:bidi/>
        <w:spacing w:after="0" w:before="0" w:line="480" w:lineRule="auto"/>
        <w:jc w:val="both"/>
      </w:pPr>
      <w:r>
        <w:rPr>
          <w:rFonts w:ascii="Times New Roman" w:cs="David" w:eastAsia="David" w:hAnsi="Times New Roman"/>
          <w:b w:val="false"/>
          <w:color w:val="000000"/>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 עדות סיבתית עדכנית מגיעה ממחקר התערבות מבוקר שעקב במשך שנתיים אחר הוספת ירק וגיוון ביולוגי בחצרות בתי ספר יסודיים בבלגיה ובהולנד: בקרב 169 ילדים בני 7 עד 12 נמצא שיפור עקבי בהתנהגות הפרו-חברתית בעקבות ההתערבות (Verheyen et al., 2025).</w:t>
      </w:r>
    </w:p>
    <w:p>
      <w:pPr>
        <w:bidi/>
        <w:spacing w:after="0" w:before="0" w:line="480" w:lineRule="auto"/>
        <w:jc w:val="both"/>
      </w:pPr>
      <w:r>
        <w:rPr>
          <w:rFonts w:ascii="Times New Roman" w:cs="David" w:eastAsia="David" w:hAnsi="Times New Roman"/>
          <w:b w:val="false"/>
          <w:color w:val="000000"/>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מחקר תצפיתי עדכני שצילם ילדי בית ספר יסודי במשחק חופשי בחצר הראה כיצד סוגים שונים של חלקים פתוחים מעצבים את משך המשחק, את תדירותו ואת הרכב הקבוצות המשחקות (Pereira et al., 2023).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pStyle w:val="Heading2"/>
        <w:bidi/>
        <w:spacing w:after="0" w:before="120" w:line="480" w:lineRule="auto"/>
        <w:jc w:val="start"/>
      </w:pPr>
      <w:r>
        <w:rPr>
          <w:rFonts w:ascii="Times New Roman" w:cs="David" w:eastAsia="David" w:hAnsi="Times New Roman"/>
          <w:b/>
          <w:bCs/>
          <w:color w:val="000000"/>
          <w:sz w:val="26"/>
          <w:szCs w:val="26"/>
          <w:rtl/>
        </w:rPr>
        <w:t xml:space="preserve">2.6 אינטראקציה חברתית, קונפליקט ומשא ומתן בהפסקה</w:t>
      </w:r>
    </w:p>
    <w:p>
      <w:pPr>
        <w:bidi/>
        <w:spacing w:after="0" w:before="0" w:line="480" w:lineRule="auto"/>
        <w:jc w:val="both"/>
      </w:pPr>
      <w:r>
        <w:rPr>
          <w:rFonts w:ascii="Times New Roman" w:cs="David" w:eastAsia="David" w:hAnsi="Times New Roman"/>
          <w:b w:val="false"/>
          <w:color w:val="000000"/>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 כאשר שואלים את הילדים עצמם, עולה תמונה דומה: בראיונות מהלך שנערכו עם 56 ילדים בתוך חצרות בתי הספר שלהם תיארו הילדים צורך כפול, באפשרויות משחק מגוונות ומאתגרות מצד אחד ובפינות שקטות שאפשר לסגת אליהן ולשהות בהן עם חברים מצד אחר (Amholt et al., 2022).</w:t>
      </w:r>
    </w:p>
    <w:p>
      <w:pPr>
        <w:bidi/>
        <w:spacing w:after="0" w:before="0" w:line="480" w:lineRule="auto"/>
        <w:jc w:val="both"/>
      </w:pPr>
      <w:r>
        <w:rPr>
          <w:rFonts w:ascii="Times New Roman" w:cs="David" w:eastAsia="David" w:hAnsi="Times New Roman"/>
          <w:b w:val="false"/>
          <w:color w:val="000000"/>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color w:val="000000"/>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3. שיטת המחקר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3.1 הגישה המחקרית</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שקדי (2003) מונה כמה מאפיינים מרכזיים של מחקר מסוג זה: החוקר הוא כלי המחקר המרכזי, הנתונים נאספים בסביבה הטבעית של המשתתפים, התיאור שואף להיות עשיר ומפורט, וההמשגה נבנית מן הנתונים בתהליך אינדוקטיבי. מאחר שמטרת המחקר הנוכחי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3.2 סוגת המחקר</w:t>
      </w:r>
    </w:p>
    <w:p>
      <w:pPr>
        <w:bidi/>
        <w:spacing w:after="0" w:before="0" w:line="480" w:lineRule="auto"/>
        <w:jc w:val="both"/>
      </w:pPr>
      <w:r>
        <w:rPr>
          <w:rFonts w:ascii="Times New Roman" w:cs="David" w:eastAsia="David" w:hAnsi="Times New Roman"/>
          <w:b w:val="false"/>
          <w:color w:val="000000"/>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color w:val="000000"/>
          <w:sz w:val="26"/>
          <w:szCs w:val="26"/>
          <w:rtl/>
        </w:rPr>
        <w:t xml:space="preserve">3.3 שדה המחקר והמשתתפים</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3.4 כלי המחקר</w:t>
      </w:r>
    </w:p>
    <w:p>
      <w:pPr>
        <w:bidi/>
        <w:spacing w:after="0" w:before="0" w:line="480" w:lineRule="auto"/>
        <w:jc w:val="both"/>
      </w:pPr>
      <w:r>
        <w:rPr>
          <w:rFonts w:ascii="Times New Roman" w:cs="David" w:eastAsia="David" w:hAnsi="Times New Roman"/>
          <w:b w:val="false"/>
          <w:color w:val="000000"/>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color w:val="000000"/>
          <w:sz w:val="26"/>
          <w:szCs w:val="26"/>
          <w:rtl/>
        </w:rPr>
        <w:t xml:space="preserve">3.5 הליך המחקר</w:t>
      </w:r>
    </w:p>
    <w:p>
      <w:pPr>
        <w:bidi/>
        <w:spacing w:after="0" w:before="0" w:line="480" w:lineRule="auto"/>
        <w:jc w:val="both"/>
      </w:pPr>
      <w:r>
        <w:rPr>
          <w:rFonts w:ascii="Times New Roman" w:cs="David" w:eastAsia="David" w:hAnsi="Times New Roman"/>
          <w:b w:val="false"/>
          <w:color w:val="000000"/>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color w:val="000000"/>
          <w:sz w:val="26"/>
          <w:szCs w:val="26"/>
          <w:rtl/>
        </w:rPr>
        <w:t xml:space="preserve">3.6 ניתוח הנתונים</w:t>
      </w:r>
    </w:p>
    <w:p>
      <w:pPr>
        <w:bidi/>
        <w:spacing w:after="0" w:before="0" w:line="480" w:lineRule="auto"/>
        <w:jc w:val="both"/>
      </w:pPr>
      <w:r>
        <w:rPr>
          <w:rFonts w:ascii="Times New Roman" w:cs="David" w:eastAsia="David" w:hAnsi="Times New Roman"/>
          <w:b w:val="false"/>
          <w:color w:val="000000"/>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 מבנה פרקי הממצאים והדיון בעבודה גובש על פי המתכונת המקובלת במחקר האיכותני בחינוך, שבה כל תמה מוצגת תחילה כממצא ולאחר מכן נדונה מול הספרות, כפי שמדגים מחקרה של רייכל (2015) על דיוקן מנהל בית הספר הרצוי בעיני סגלי הוראה.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3.7 אתיקה במחקר</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4. ממצאים</w:t>
      </w:r>
    </w:p>
    <w:p>
      <w:pPr>
        <w:bidi/>
        <w:spacing w:after="0" w:before="0" w:line="480" w:lineRule="auto"/>
        <w:jc w:val="both"/>
      </w:pPr>
      <w:r>
        <w:rPr>
          <w:rFonts w:ascii="Times New Roman" w:cs="David" w:eastAsia="David" w:hAnsi="Times New Roman"/>
          <w:b w:val="false"/>
          <w:color w:val="000000"/>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color w:val="000000"/>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4.1 תמה 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color w:val="000000"/>
          <w:sz w:val="24"/>
          <w:szCs w:val="24"/>
          <w:rtl/>
        </w:rPr>
        <w:t xml:space="preserve">4.1.1 קטגוריה 1: משחקי מרדף ותופסת</w:t>
      </w:r>
    </w:p>
    <w:p>
      <w:pPr>
        <w:bidi/>
        <w:spacing w:after="0" w:before="0" w:line="480" w:lineRule="auto"/>
        <w:jc w:val="both"/>
      </w:pPr>
      <w:r>
        <w:rPr>
          <w:rFonts w:ascii="Times New Roman" w:cs="David" w:eastAsia="David" w:hAnsi="Times New Roman"/>
          <w:b w:val="false"/>
          <w:color w:val="000000"/>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color w:val="000000"/>
          <w:sz w:val="24"/>
          <w:szCs w:val="24"/>
          <w:rtl/>
        </w:rPr>
        <w:t xml:space="preserve">4.1.2 קטגוריה 2: הדשא והמרחב הפתוח כמרחבים לתנועה</w:t>
      </w:r>
    </w:p>
    <w:p>
      <w:pPr>
        <w:bidi/>
        <w:spacing w:after="0" w:before="0" w:line="480" w:lineRule="auto"/>
        <w:jc w:val="both"/>
      </w:pPr>
      <w:r>
        <w:rPr>
          <w:rFonts w:ascii="Times New Roman" w:cs="David" w:eastAsia="David" w:hAnsi="Times New Roman"/>
          <w:b w:val="false"/>
          <w:color w:val="000000"/>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color w:val="000000"/>
          <w:sz w:val="24"/>
          <w:szCs w:val="24"/>
          <w:rtl/>
        </w:rPr>
        <w:t xml:space="preserve">4.1.3 קטגוריה 3: מעבר בין אזורי החצר בהתאם לאופי הפעילות</w:t>
      </w:r>
    </w:p>
    <w:p>
      <w:pPr>
        <w:bidi/>
        <w:spacing w:after="0" w:before="0" w:line="480" w:lineRule="auto"/>
        <w:jc w:val="both"/>
      </w:pPr>
      <w:r>
        <w:rPr>
          <w:rFonts w:ascii="Times New Roman" w:cs="David" w:eastAsia="David" w:hAnsi="Times New Roman"/>
          <w:b w:val="false"/>
          <w:color w:val="000000"/>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4.2 תמה 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color w:val="000000"/>
          <w:sz w:val="24"/>
          <w:szCs w:val="24"/>
          <w:rtl/>
        </w:rPr>
        <w:t xml:space="preserve">4.2.1 קטגוריה 1: שיחות חברתיות ושיתוף חוויות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color w:val="000000"/>
          <w:sz w:val="24"/>
          <w:szCs w:val="24"/>
          <w:rtl/>
        </w:rPr>
        <w:t xml:space="preserve">4.2.2 קטגוריה 2: יצירת קשרים והצטרפות לפעילות</w:t>
      </w:r>
    </w:p>
    <w:p>
      <w:pPr>
        <w:bidi/>
        <w:spacing w:after="0" w:before="0" w:line="480" w:lineRule="auto"/>
        <w:jc w:val="both"/>
      </w:pPr>
      <w:r>
        <w:rPr>
          <w:rFonts w:ascii="Times New Roman" w:cs="David" w:eastAsia="David" w:hAnsi="Times New Roman"/>
          <w:b w:val="false"/>
          <w:color w:val="000000"/>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color w:val="000000"/>
          <w:sz w:val="24"/>
          <w:szCs w:val="24"/>
          <w:rtl/>
        </w:rPr>
        <w:t xml:space="preserve">4.2.3 קטגוריה 3: מרחבי מנוחה כמוקדי אינטראקציה</w:t>
      </w:r>
    </w:p>
    <w:p>
      <w:pPr>
        <w:bidi/>
        <w:spacing w:after="0" w:before="0" w:line="480" w:lineRule="auto"/>
        <w:jc w:val="both"/>
      </w:pPr>
      <w:r>
        <w:rPr>
          <w:rFonts w:ascii="Times New Roman" w:cs="David" w:eastAsia="David" w:hAnsi="Times New Roman"/>
          <w:b w:val="false"/>
          <w:color w:val="000000"/>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4.3 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color w:val="000000"/>
          <w:sz w:val="24"/>
          <w:szCs w:val="24"/>
          <w:rtl/>
        </w:rPr>
        <w:t xml:space="preserve">4.3.1 קטגוריה 1: שימוש באלמנטים טבעיים במשחק דמיוני</w:t>
      </w:r>
    </w:p>
    <w:p>
      <w:pPr>
        <w:bidi/>
        <w:spacing w:after="0" w:before="0" w:line="480" w:lineRule="auto"/>
        <w:jc w:val="both"/>
      </w:pPr>
      <w:r>
        <w:rPr>
          <w:rFonts w:ascii="Times New Roman" w:cs="David" w:eastAsia="David" w:hAnsi="Times New Roman"/>
          <w:b w:val="false"/>
          <w:color w:val="000000"/>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color w:val="000000"/>
          <w:sz w:val="24"/>
          <w:szCs w:val="24"/>
          <w:rtl/>
        </w:rPr>
        <w:t xml:space="preserve">4.3.2 קטגוריה 2: שיתוף פעולה וחלוקת תפקידים</w:t>
      </w:r>
    </w:p>
    <w:p>
      <w:pPr>
        <w:bidi/>
        <w:spacing w:after="0" w:before="0" w:line="480" w:lineRule="auto"/>
        <w:jc w:val="both"/>
      </w:pPr>
      <w:r>
        <w:rPr>
          <w:rFonts w:ascii="Times New Roman" w:cs="David" w:eastAsia="David" w:hAnsi="Times New Roman"/>
          <w:b w:val="false"/>
          <w:color w:val="000000"/>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color w:val="000000"/>
          <w:sz w:val="24"/>
          <w:szCs w:val="24"/>
          <w:rtl/>
        </w:rPr>
        <w:t xml:space="preserve">4.3.3 קטגוריה 3: פתרון בעיות במהלך המשחק</w:t>
      </w:r>
    </w:p>
    <w:p>
      <w:pPr>
        <w:bidi/>
        <w:spacing w:after="0" w:before="0" w:line="480" w:lineRule="auto"/>
        <w:jc w:val="both"/>
      </w:pPr>
      <w:r>
        <w:rPr>
          <w:rFonts w:ascii="Times New Roman" w:cs="David" w:eastAsia="David" w:hAnsi="Times New Roman"/>
          <w:b w:val="false"/>
          <w:color w:val="000000"/>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4.4 תמה 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color w:val="000000"/>
          <w:sz w:val="24"/>
          <w:szCs w:val="24"/>
          <w:rtl/>
        </w:rPr>
        <w:t xml:space="preserve">4.4.1 קטגוריה 1: קונפליקטים סביב שימוש במרחב</w:t>
      </w:r>
    </w:p>
    <w:p>
      <w:pPr>
        <w:bidi/>
        <w:spacing w:after="0" w:before="0" w:line="480" w:lineRule="auto"/>
        <w:jc w:val="both"/>
      </w:pPr>
      <w:r>
        <w:rPr>
          <w:rFonts w:ascii="Times New Roman" w:cs="David" w:eastAsia="David" w:hAnsi="Times New Roman"/>
          <w:b w:val="false"/>
          <w:color w:val="000000"/>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color w:val="000000"/>
          <w:sz w:val="24"/>
          <w:szCs w:val="24"/>
          <w:rtl/>
        </w:rPr>
        <w:t xml:space="preserve">4.4.2 קטגוריה 2: משא ומתן ופשרה</w:t>
      </w:r>
    </w:p>
    <w:p>
      <w:pPr>
        <w:bidi/>
        <w:spacing w:after="0" w:before="0" w:line="480" w:lineRule="auto"/>
        <w:jc w:val="both"/>
      </w:pPr>
      <w:r>
        <w:rPr>
          <w:rFonts w:ascii="Times New Roman" w:cs="David" w:eastAsia="David" w:hAnsi="Times New Roman"/>
          <w:b w:val="false"/>
          <w:color w:val="000000"/>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color w:val="000000"/>
          <w:sz w:val="24"/>
          <w:szCs w:val="24"/>
          <w:rtl/>
        </w:rPr>
        <w:t xml:space="preserve">4.4.3 קטגוריה 3: תמיכה הדדית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5. דיון</w:t>
      </w:r>
    </w:p>
    <w:p>
      <w:pPr>
        <w:bidi/>
        <w:spacing w:after="0" w:before="0" w:line="480" w:lineRule="auto"/>
        <w:jc w:val="both"/>
      </w:pPr>
      <w:r>
        <w:rPr>
          <w:rFonts w:ascii="Times New Roman" w:cs="David" w:eastAsia="David" w:hAnsi="Times New Roman"/>
          <w:b w:val="false"/>
          <w:color w:val="000000"/>
          <w:sz w:val="24"/>
          <w:szCs w:val="24"/>
          <w:rtl/>
        </w:rPr>
        <w:t xml:space="preserve">מטרתו של פרק זה למקם את ממצאי המחקר בתוך הידע הקיים: לבחון היכן הם תומכים בספרות, היכן הם מוסיפים לה והיכן הם עומדים בניגוד לה. הפרק בנוי כתמונת מראה לפרק הממצאים ודן בארבע התמות כסדרן, ובסופו מוצגות מגבלות המחקר והצעות להמשך.</w:t>
      </w:r>
    </w:p>
    <w:p>
      <w:pPr>
        <w:pStyle w:val="Heading2"/>
        <w:bidi/>
        <w:spacing w:after="0" w:before="120" w:line="480" w:lineRule="auto"/>
        <w:jc w:val="start"/>
      </w:pPr>
      <w:r>
        <w:rPr>
          <w:rFonts w:ascii="Times New Roman" w:cs="David" w:eastAsia="David" w:hAnsi="Times New Roman"/>
          <w:b/>
          <w:bCs/>
          <w:color w:val="000000"/>
          <w:sz w:val="26"/>
          <w:szCs w:val="26"/>
          <w:rtl/>
        </w:rPr>
        <w:t xml:space="preserve">5.1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התמה הראשונה העלתה שהתלמידים גייסו את האלמנטים הפיזיים לארגון המשחק התנועתי: העצים שימשו מסתור, הדשא שימש מרחב ריצה והשביל הוגדר גבול משחק. ממצא זה תומך בספרות המלמדת שמבנה החצר מעצב את היקף הפעילות ואת סוגה (Lemberg et al., 2023; Schipperijn et al., 2024), ומתיישב היטב עם תיאוריית ההזדמנויות, שלפיה הילדים קוראים את המרחב דרך מה שאפשר לעשות בו (J. J. Gibson, 1979; Kyttä, 2004). לצד התמיכה יש כאן גם תוספת: בעוד שמחקרי ההזדמנויות מתארים בעיקר את הפעולה שהאלמנט מזמן, התצפיות הראו שהתלמידים הופכים את האלמנט לכלל חברתי מוסכם, כדוגמת ההחלטה שאין לחצות את השביל. האלמנט הפיזי אינו רק מזמן פעולה; הוא מגויס לחוקת המשחק.</w:t>
      </w:r>
    </w:p>
    <w:p>
      <w:pPr>
        <w:pStyle w:val="Heading2"/>
        <w:bidi/>
        <w:spacing w:after="0" w:before="120" w:line="480" w:lineRule="auto"/>
        <w:jc w:val="start"/>
      </w:pPr>
      <w:r>
        <w:rPr>
          <w:rFonts w:ascii="Times New Roman" w:cs="David" w:eastAsia="David" w:hAnsi="Times New Roman"/>
          <w:b/>
          <w:bCs/>
          <w:color w:val="000000"/>
          <w:sz w:val="26"/>
          <w:szCs w:val="26"/>
          <w:rtl/>
        </w:rPr>
        <w:t xml:space="preserve">5.2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התמה השנייה העלתה שהספסלים, שולחנות העץ והגדר שימשו מוקדי מפגש, שיחה והצטרפות. הדבר תומך בממצאים שלפיהם אזורים מסוימים בחצר מתפקדים כמוקדי התקבצות חברתית (Nasri et al., 2022) ושאינטראקציות פרו-חברתיות מעוגנות באזורים מוגדרים, ובהם אזורי ישיבה וצל (Hazlehurst et al., 2023; Raney et al., 2023), וכן בדיווחי ילדים על הצורך בפינות שקטות לשהייה עם חברים לצד אזורי המשחק הפעיל (Amholt et al., 2022). התצפיות מוסיפות לתמונה הכמותית הזו תיאור מיקרו של התהליך עצמו: כיצד תלמידה היושבת לבדה על ספסל הופכת למוקד של מפגש, וכיצד קבוצה בונה מפנה מקום לילדה מצטרפת ומסבירה לה את כללי המשחק. תהליכי הצטרפות אלה, שתועדו בספרות בעיקר בגיל הגן (יריב ואחרים, 2022), נצפו כאן מתרחשים באופן עצמאי סביב אלמנטים פיזיים בחצר בית הספר. בכך מקבל אישוש תצפיתי תיאורן המוקדם של זבה וצ'רצ'מן (1988) את החצר כ"כיכר העיר" של הילדים: הזירה היומיומית שבה נפגשים, משוחחים ומייצבים מעמד חברתי.</w:t>
      </w:r>
    </w:p>
    <w:p>
      <w:pPr>
        <w:pStyle w:val="Heading2"/>
        <w:bidi/>
        <w:spacing w:after="0" w:before="120" w:line="480" w:lineRule="auto"/>
        <w:jc w:val="start"/>
      </w:pPr>
      <w:r>
        <w:rPr>
          <w:rFonts w:ascii="Times New Roman" w:cs="David" w:eastAsia="David" w:hAnsi="Times New Roman"/>
          <w:b/>
          <w:bCs/>
          <w:color w:val="000000"/>
          <w:sz w:val="26"/>
          <w:szCs w:val="26"/>
          <w:rtl/>
        </w:rPr>
        <w:t xml:space="preserve">5.3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התמה השלישית העלתה שהתלמידים השתמשו בענפים, בעלים ובאבנים כחומרי משחק פתוחים ובנו מהם בית ועיר קטנה תוך חלוקת תפקידים ופתרון בעיות. ממצא זה תומך במחקרי החלקים הפתוחים, המצביעים על תרומת חומרים ללא ייעוד קבוע להתפתחות קוגניטיבית, חברתית ורגשית (Flannigan &amp; Dietze, 2017; J. L. Gibson et al., 2017), ובממצא שלפיו אלמנטים מבוססי טבע מרחיבים את רפרטואר המשחק אל עבר משחק דמיוני ושקט (Raney et al., 2023). התוספת של המחקר הנוכחי היא בתיעוד רצף שלם של אירוע: יוזמה, איסוף חומרים, חלוקת עבודה, קריסת המבנה, ניסיון מחודש ומשחק תפקידים בתוך התוצר. הרצף ממחיש שהערך ההתפתחותי אינו טמון בחומר עצמו אלא בתהליך החברתי שהוא מזמן.</w:t>
      </w:r>
    </w:p>
    <w:p>
      <w:pPr>
        <w:pStyle w:val="Heading2"/>
        <w:bidi/>
        <w:spacing w:after="0" w:before="120" w:line="480" w:lineRule="auto"/>
        <w:jc w:val="start"/>
      </w:pPr>
      <w:r>
        <w:rPr>
          <w:rFonts w:ascii="Times New Roman" w:cs="David" w:eastAsia="David" w:hAnsi="Times New Roman"/>
          <w:b/>
          <w:bCs/>
          <w:color w:val="000000"/>
          <w:sz w:val="26"/>
          <w:szCs w:val="26"/>
          <w:rtl/>
        </w:rPr>
        <w:t xml:space="preserve">5.4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התמה הרביעית העלתה שהאלמנטים הפיזיים היו גם מושא למחלוקת: הוויכוח על מקום הישיבה על הספסל הסלים עד דחיפה קלה, ונפתר בהצעת פשרה של תלמיד שלישי. הספרות מתעדת קונפליקטים על שטח כחסם מרכזי לפעילות בהפסקה (Pawlowski et al., 2014). המחקר הנוכחי מציג תמונה שונה במקצת, ואפשר לראות בה חידוש על דרך הניגוד: הקונפליקט סביב הספסל לא נותר חסם אלא הפך זירת למידה חברתית, שבה אותו אלמנט פיזי שעורר את המחלוקת שימש גם אמצעי לפתרונה, באמצעות חלוקת המרחב בין הצדדים. נראה אפוא שבתנאים מסוימים, ובהם נוכחות עמיתים מתווכים, המשאב הפיזי המוגבל מזמן דווקא התנסות במשא ומתן ובפשרה. לממצא זה גם השלכה מעשית: מערכת החינוך משקיעה כיום מאמץ מכוון בפיתוח כשירות חברתית ורגשית של תלמידים, בהובלת הצוותים החינוכיים והיועצות ובשיתוף ההורים, הרואים בכך תחום פעילות חשוב של בית הספר (חן, 2025; כורם, 2022), והתצפיות מלמדות שההפסקה בחצר היא זירה טבעית שבה כשירות זו נבנית גם ללא תיווך של מבוגר.</w:t>
      </w:r>
    </w:p>
    <w:p>
      <w:pPr>
        <w:pStyle w:val="Heading2"/>
        <w:bidi/>
        <w:spacing w:after="0" w:before="120" w:line="480" w:lineRule="auto"/>
        <w:jc w:val="start"/>
      </w:pPr>
      <w:r>
        <w:rPr>
          <w:rFonts w:ascii="Times New Roman" w:cs="David" w:eastAsia="David" w:hAnsi="Times New Roman"/>
          <w:b/>
          <w:bCs/>
          <w:color w:val="000000"/>
          <w:sz w:val="26"/>
          <w:szCs w:val="26"/>
          <w:rtl/>
        </w:rPr>
        <w:t xml:space="preserve">5.5 מגבלות המחקר והצעות להמשך</w:t>
      </w:r>
    </w:p>
    <w:p>
      <w:pPr>
        <w:bidi/>
        <w:spacing w:after="0" w:before="0" w:line="480" w:lineRule="auto"/>
        <w:jc w:val="both"/>
      </w:pPr>
      <w:r>
        <w:rPr>
          <w:rFonts w:ascii="Times New Roman" w:cs="David" w:eastAsia="David" w:hAnsi="Times New Roman"/>
          <w:b w:val="false"/>
          <w:color w:val="000000"/>
          <w:sz w:val="24"/>
          <w:szCs w:val="24"/>
          <w:rtl/>
        </w:rPr>
        <w:t xml:space="preserve">למחקר כמה מגבלות.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כמו כן,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6. סיכום</w:t>
      </w:r>
    </w:p>
    <w:p>
      <w:pPr>
        <w:bidi/>
        <w:spacing w:after="0" w:before="0" w:line="480" w:lineRule="auto"/>
        <w:jc w:val="both"/>
      </w:pPr>
      <w:r>
        <w:rPr>
          <w:rFonts w:ascii="Times New Roman" w:cs="David" w:eastAsia="David" w:hAnsi="Times New Roman"/>
          <w:b w:val="false"/>
          <w:color w:val="000000"/>
          <w:sz w:val="24"/>
          <w:szCs w:val="24"/>
          <w:rtl/>
        </w:rPr>
        <w:t xml:space="preserve">העבודה בחנה כיצד משמשים האלמנטים הפיזיים בחצר בית הספר את תלמידי כיתה ב' במהלך ההפסקה. משבע תצפיות טהורות שנותחו על פי עקרונות התיאוריה המעוגנת בשדה עלו ארבע תמות: החצר כמרחב למשחק ולתנועה, החצר כמרחב ליצירת קשרים ולשיחה, האלמנטים הפיזיים כבסיס למשחק יצירתי ולשיתוף פעולה, והחצר כזירה לקונפליקט ולמשא ומתן. התשובה לשאלת המחקר היא שהאלמנטים הפיזיים מתפקדים בעת ובעונה אחת כתפאורה, ככלי משחק, כגבול מוסכם, כמוקד מפגש וכמושא למחלוקת, ושהתלמידים עוברים ביניהם בגמישות בהתאם לצורכי הפעילות והקשר החברתי.</w:t>
      </w:r>
    </w:p>
    <w:p>
      <w:pPr>
        <w:bidi/>
        <w:spacing w:after="0" w:before="0" w:line="480" w:lineRule="auto"/>
        <w:jc w:val="both"/>
      </w:pPr>
      <w:r>
        <w:rPr>
          <w:rFonts w:ascii="Times New Roman" w:cs="David" w:eastAsia="David" w:hAnsi="Times New Roman"/>
          <w:b w:val="false"/>
          <w:color w:val="000000"/>
          <w:sz w:val="24"/>
          <w:szCs w:val="24"/>
          <w:rtl/>
        </w:rPr>
        <w:t xml:space="preserve">מן הממצאים נגזרות כמה המלצות יישומיות. ראשית, בתכנון חצרות ראוי לכלול לצד המתקנים גם אלמנטים פתוחים וחומרים טבעיים, ענפים, אבנים ועלים, המזמנים משחק יצירתי ושיתוף פעולה. שנית, מומלץ להציב ריהוט ישיבה באזורים מוצלים ומעט מרוחקים ממוקדי הריצה, שכן אלה שימשו בתצפיות מוקדי אינטראקציה שקטה והצטרפות חברתית. שלישית, כדאי להכשיר את צוותי בתי הספר לראות בהפסקה זמן חינוכי ולהשתמש בתצפית בחצר ככלי לזיהוי תלמידים המתקשים להצטרף למשחק. רביעית, מוצע לשתף את התלמידים עצמם בעיצוב החצר, מתוך ההבנה שעלתה מן התצפיות שהם קוראים את המרחב ומעניקים לו שימושים ומשמעויות משלהם.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רשימת מקורות</w:t>
      </w:r>
    </w:p>
    <w:p>
      <w:pPr>
        <w:bidi/>
        <w:spacing w:line="480" w:lineRule="auto"/>
        <w:ind w:start="709" w:hanging="709"/>
        <w:jc w:val="start"/>
      </w:pPr>
      <w:r>
        <w:rPr>
          <w:rFonts w:ascii="Times New Roman" w:cs="David" w:eastAsia="David" w:hAnsi="Times New Roman"/>
          <w:b w:val="false"/>
          <w:color w:val="000000"/>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color w:val="000000"/>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color w:val="000000"/>
          <w:sz w:val="24"/>
          <w:szCs w:val="24"/>
          <w:rtl/>
        </w:rPr>
        <w:t xml:space="preserve">זבה, ר', וצ'רצ'מן, א' (1988). חצר בית-הספר היסודי: עקרונות תכנון כנגד עקרונות חינוך. עיונים בחינוך, 35-48. https://www.jstor.org/stable/23393161</w:t>
      </w:r>
    </w:p>
    <w:p>
      <w:pPr>
        <w:bidi/>
        <w:spacing w:line="480" w:lineRule="auto"/>
        <w:ind w:start="709" w:hanging="709"/>
        <w:jc w:val="start"/>
      </w:pPr>
      <w:r>
        <w:rPr>
          <w:rFonts w:ascii="Times New Roman" w:cs="David" w:eastAsia="David" w:hAnsi="Times New Roman"/>
          <w:b w:val="false"/>
          <w:color w:val="000000"/>
          <w:sz w:val="24"/>
          <w:szCs w:val="24"/>
          <w:rtl/>
        </w:rPr>
        <w:t xml:space="preserve">חן, ס' (2025). מעבר לגבולות השיתוף: תפיסות ההורים בתהליך הלמידה החברתית-רגשית (SEL) בבית הספר. חוקרים@צוותי חינוך-הורים, 3, 36-68.</w:t>
      </w:r>
    </w:p>
    <w:p>
      <w:pPr>
        <w:bidi/>
        <w:spacing w:line="480" w:lineRule="auto"/>
        <w:ind w:start="709" w:hanging="709"/>
        <w:jc w:val="start"/>
      </w:pPr>
      <w:r>
        <w:rPr>
          <w:rFonts w:ascii="Times New Roman" w:cs="David" w:eastAsia="David" w:hAnsi="Times New Roman"/>
          <w:b w:val="false"/>
          <w:color w:val="000000"/>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color w:val="000000"/>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color w:val="000000"/>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color w:val="000000"/>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color w:val="000000"/>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color w:val="000000"/>
          <w:sz w:val="24"/>
          <w:szCs w:val="24"/>
          <w:rtl/>
        </w:rPr>
        <w:t xml:space="preserve">רייכל, נ' (2015). מנהל בית הספר הרצוי ותפקידיו במשקפי הסגל החינוכי. עיונים במינהל ובארגון החינוך, 34, 111-132.</w:t>
      </w:r>
    </w:p>
    <w:p>
      <w:pPr>
        <w:bidi/>
        <w:spacing w:line="480" w:lineRule="auto"/>
        <w:ind w:start="709" w:hanging="709"/>
        <w:jc w:val="start"/>
      </w:pPr>
      <w:r>
        <w:rPr>
          <w:rFonts w:ascii="Times New Roman" w:cs="David" w:eastAsia="David" w:hAnsi="Times New Roman"/>
          <w:b w:val="false"/>
          <w:color w:val="000000"/>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color w:val="000000"/>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color w:val="000000"/>
          <w:sz w:val="24"/>
          <w:szCs w:val="24"/>
        </w:rPr>
        <w:t xml:space="preserve">Amholt, T. T., Westerskov Dalgas, B., Veitch, J., Ntoumanis, N., Fich Jespersen, J., Schipperijn, J., &amp; Pawlowski, C. S. (2022). Motivating playgrounds: Understanding how school playgrounds support autonomy, competence, and relatedness of tweens. International Journal of Qualitative Studies on Health and Well-being, 17(1), Article 2096085. https://doi.org/10.1080/17482631.2022.2096085</w:t>
      </w:r>
    </w:p>
    <w:p>
      <w:pPr>
        <w:spacing w:line="480" w:lineRule="auto"/>
        <w:ind w:start="709" w:hanging="709"/>
        <w:jc w:val="left"/>
      </w:pPr>
      <w:r>
        <w:rPr>
          <w:rFonts w:ascii="Times New Roman" w:cs="David" w:eastAsia="David" w:hAnsi="Times New Roman"/>
          <w:color w:val="000000"/>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color w:val="000000"/>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color w:val="000000"/>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color w:val="000000"/>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color w:val="000000"/>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color w:val="000000"/>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color w:val="000000"/>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color w:val="000000"/>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color w:val="000000"/>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color w:val="000000"/>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color w:val="000000"/>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color w:val="000000"/>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color w:val="000000"/>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color w:val="000000"/>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color w:val="000000"/>
          <w:sz w:val="24"/>
          <w:szCs w:val="24"/>
        </w:rPr>
        <w:t xml:space="preserve">Pereira, J. V., Dionísio, J., Lopes, F., &amp; Cordovil, R. (2023). Playing at the schoolyard: "The who's, the what's and the how long's" of loose parts. Children, 10(2), Article 240. https://doi.org/10.3390/children10020240</w:t>
      </w:r>
    </w:p>
    <w:p>
      <w:pPr>
        <w:spacing w:line="480" w:lineRule="auto"/>
        <w:ind w:start="709" w:hanging="709"/>
        <w:jc w:val="left"/>
      </w:pPr>
      <w:r>
        <w:rPr>
          <w:rFonts w:ascii="Times New Roman" w:cs="David" w:eastAsia="David" w:hAnsi="Times New Roman"/>
          <w:color w:val="000000"/>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color w:val="000000"/>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color w:val="000000"/>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color w:val="000000"/>
          <w:sz w:val="24"/>
          <w:szCs w:val="24"/>
        </w:rPr>
        <w:t xml:space="preserve">Strauss, A., &amp; Corbin, J. (1994). Grounded theory methodology: An overview. In N. K. Denzin &amp; Y. S. Lincoln (Eds.), Handbook of qualitative research (pp. 273-285). Sage.</w:t>
      </w:r>
    </w:p>
    <w:p>
      <w:pPr>
        <w:spacing w:line="480" w:lineRule="auto"/>
        <w:ind w:start="709" w:hanging="709"/>
        <w:jc w:val="left"/>
      </w:pPr>
      <w:r>
        <w:rPr>
          <w:rFonts w:ascii="Times New Roman" w:cs="David" w:eastAsia="David" w:hAnsi="Times New Roman"/>
          <w:color w:val="000000"/>
          <w:sz w:val="24"/>
          <w:szCs w:val="24"/>
        </w:rPr>
        <w:t xml:space="preserve">Verheyen, L., van Engelen, B. H. W., Winkens, B., Vanbrabant, K., Hannes, E., Nawrot, T. S., Malina, R., van Schayck, O. C. P., &amp; Plusquin, M. (2025). The impact of greening interventions in school grounds on social behavior and cognitive performance among primary school children. Frontiers in Public Health, 13, Article 1620199. https://doi.org/10.3389/fpubh.2025.1620199</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נספחים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א': תצפיות המחקר</w:t>
      </w:r>
    </w:p>
    <w:p>
      <w:pPr>
        <w:bidi/>
        <w:spacing w:after="0" w:before="0" w:line="480" w:lineRule="auto"/>
        <w:jc w:val="both"/>
      </w:pPr>
      <w:r>
        <w:rPr>
          <w:rFonts w:ascii="Times New Roman" w:cs="David" w:eastAsia="David" w:hAnsi="Times New Roman"/>
          <w:b w:val="false"/>
          <w:color w:val="000000"/>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color w:val="000000"/>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color w:val="000000"/>
          <w:sz w:val="24"/>
          <w:szCs w:val="24"/>
          <w:rtl/>
        </w:rPr>
        <w:t xml:space="preserve">תאריך: 11.01.2026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color w:val="000000"/>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color w:val="000000"/>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color w:val="000000"/>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color w:val="000000"/>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color w:val="000000"/>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color w:val="000000"/>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תאריך: 13.01.2026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color w:val="000000"/>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color w:val="000000"/>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21.01.2026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color w:val="000000"/>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color w:val="000000"/>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color w:val="000000"/>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color w:val="000000"/>
          <w:sz w:val="24"/>
          <w:szCs w:val="24"/>
          <w:rtl/>
        </w:rPr>
        <w:t xml:space="preserve">תאריך: 04.02.2026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color w:val="000000"/>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color w:val="000000"/>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color w:val="000000"/>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color w:val="000000"/>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color w:val="000000"/>
          <w:sz w:val="24"/>
          <w:szCs w:val="24"/>
          <w:rtl/>
        </w:rPr>
        <w:t xml:space="preserve">תאריך: 08.02.2026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color w:val="000000"/>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color w:val="000000"/>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color w:val="000000"/>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color w:val="000000"/>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10.02.2026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color w:val="000000"/>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color w:val="000000"/>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color w:val="000000"/>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color w:val="000000"/>
          <w:sz w:val="24"/>
          <w:szCs w:val="24"/>
          <w:rtl/>
        </w:rPr>
        <w:t xml:space="preserve">תאריך: 11.02.2026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color w:val="000000"/>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David" w:eastAsia="David" w:hAnsi="Times New Roman"/>
      <w:b/>
      <w:bCs/>
      <w:color w:val="000000"/>
      <w:sz w:val="32"/>
      <w:szCs w:val="32"/>
    </w:rPr>
  </w:style>
  <w:style w:type="paragraph" w:styleId="Heading2">
    <w:name w:val="Heading 2"/>
    <w:basedOn w:val="Normal"/>
    <w:next w:val="Normal"/>
    <w:qFormat/>
    <w:rPr>
      <w:rFonts w:ascii="Times New Roman" w:cs="David" w:eastAsia="David" w:hAnsi="Times New Roman"/>
      <w:b/>
      <w:bCs/>
      <w:color w:val="000000"/>
      <w:sz w:val="26"/>
      <w:szCs w:val="26"/>
    </w:rPr>
  </w:style>
  <w:style w:type="paragraph" w:styleId="TOC1">
    <w:name w:val="TOC 1"/>
    <w:basedOn w:val="Normal"/>
    <w:next w:val="Normal"/>
    <w:rPr>
      <w:rFonts w:ascii="Times New Roman" w:cs="David" w:eastAsia="David" w:hAnsi="Times New Roman"/>
      <w:color w:val="000000"/>
      <w:sz w:val="24"/>
      <w:szCs w:val="24"/>
    </w:rPr>
  </w:style>
  <w:style w:type="paragraph" w:styleId="TOC2">
    <w:name w:val="TOC 2"/>
    <w:basedOn w:val="Normal"/>
    <w:next w:val="Normal"/>
    <w:rPr>
      <w:rFonts w:ascii="Times New Roman" w:cs="David" w:eastAsia="David" w:hAnsi="Times New Roman"/>
      <w:color w:val="000000"/>
      <w:sz w:val="24"/>
      <w:szCs w:val="24"/>
    </w:rPr>
  </w:style>
  <w:style w:type="paragraph" w:styleId="Hyperlink">
    <w:name w:val="Hyperlink"/>
    <w:basedOn w:val="Normal"/>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2026-08-24T19:00:22.382Z</dcterms:created>
  <dcterms:modified xsi:type="dcterms:W3CDTF">2026-08-24T19:00:22.399Z</dcterms:modified>
</cp:coreProperties>
</file>

<file path=docProps/custom.xml><?xml version="1.0" encoding="utf-8"?>
<Properties xmlns="http://schemas.openxmlformats.org/officeDocument/2006/custom-properties" xmlns:vt="http://schemas.openxmlformats.org/officeDocument/2006/docPropsVTypes"/>
</file>