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0" w:line="360" w:lineRule="auto"/>
        <w:jc w:val="center"/>
      </w:pPr>
      <w:r>
        <w:rPr>
          <w:rFonts w:ascii="Times New Roman" w:cs="David" w:eastAsia="David" w:hAnsi="Times New Roman"/>
          <w:b/>
          <w:bCs/>
          <w:i w:val="false"/>
          <w:sz w:val="30"/>
          <w:szCs w:val="30"/>
          <w:rtl/>
        </w:rPr>
        <w:t xml:space="preserve">המסלול האקדמי המכללה למינהל</w:t>
      </w:r>
    </w:p>
    <w:p>
      <w:pPr>
        <w:bidi/>
        <w:spacing w:after="480" w:before="0" w:line="360" w:lineRule="auto"/>
        <w:jc w:val="center"/>
      </w:pPr>
      <w:r>
        <w:rPr>
          <w:rFonts w:ascii="Times New Roman" w:cs="David" w:eastAsia="David" w:hAnsi="Times New Roman"/>
          <w:b/>
          <w:bCs/>
          <w:i w:val="false"/>
          <w:sz w:val="28"/>
          <w:szCs w:val="28"/>
          <w:rtl/>
        </w:rPr>
        <w:t xml:space="preserve">בית הספר לתקשורת</w:t>
      </w:r>
    </w:p>
    <w:p>
      <w:pPr>
        <w:bidi/>
        <w:spacing w:after="60" w:before="0" w:line="360" w:lineRule="auto"/>
        <w:jc w:val="center"/>
      </w:pPr>
      <w:r>
        <w:rPr>
          <w:rFonts w:ascii="Times New Roman" w:cs="David" w:eastAsia="David" w:hAnsi="Times New Roman"/>
          <w:b w:val="false"/>
          <w:i w:val="false"/>
          <w:sz w:val="26"/>
          <w:szCs w:val="26"/>
          <w:rtl/>
        </w:rPr>
        <w:t xml:space="preserve">עבודת סמינריון בקורס:</w:t>
      </w:r>
    </w:p>
    <w:p>
      <w:pPr>
        <w:bidi/>
        <w:spacing w:after="360" w:before="0" w:line="360" w:lineRule="auto"/>
        <w:jc w:val="center"/>
      </w:pPr>
      <w:r>
        <w:rPr>
          <w:rFonts w:ascii="Times New Roman" w:cs="David" w:eastAsia="David" w:hAnsi="Times New Roman"/>
          <w:b/>
          <w:bCs/>
          <w:i w:val="false"/>
          <w:sz w:val="28"/>
          <w:szCs w:val="28"/>
          <w:rtl/>
        </w:rPr>
        <w:t xml:space="preserve">המשפט כתרבות פופולרית</w:t>
      </w:r>
    </w:p>
    <w:p>
      <w:pPr>
        <w:bidi/>
        <w:spacing w:after="360" w:before="0" w:line="360" w:lineRule="auto"/>
        <w:jc w:val="center"/>
      </w:pPr>
      <w:r>
        <w:rPr>
          <w:rFonts w:ascii="Times New Roman" w:cs="David" w:eastAsia="David" w:hAnsi="Times New Roman"/>
          <w:b/>
          <w:bCs/>
          <w:i w:val="false"/>
          <w:sz w:val="32"/>
          <w:szCs w:val="32"/>
          <w:rtl/>
        </w:rPr>
        <w:t xml:space="preserve">צדק בזמן פריים־טיים: בין הבניית "עשיית הצדק" בתרבות הפופולרית לבין מציאות הגבייה בתביעת עבודה</w:t>
      </w:r>
    </w:p>
    <w:p>
      <w:pPr>
        <w:bidi/>
        <w:spacing w:after="60" w:before="0" w:line="360" w:lineRule="auto"/>
        <w:jc w:val="center"/>
      </w:pPr>
      <w:r>
        <w:rPr>
          <w:rFonts w:ascii="Times New Roman" w:cs="David" w:eastAsia="David" w:hAnsi="Times New Roman"/>
          <w:b/>
          <w:bCs/>
          <w:i w:val="false"/>
          <w:sz w:val="26"/>
          <w:szCs w:val="26"/>
          <w:rtl/>
        </w:rPr>
        <w:t xml:space="preserve">שאלת המחקר:</w:t>
      </w:r>
    </w:p>
    <w:p>
      <w:pPr>
        <w:bidi/>
        <w:spacing w:after="480" w:before="0" w:line="360" w:lineRule="auto"/>
        <w:jc w:val="center"/>
      </w:pPr>
      <w:r>
        <w:rPr>
          <w:rFonts w:ascii="Times New Roman" w:cs="David" w:eastAsia="David" w:hAnsi="Times New Roman"/>
          <w:b w:val="false"/>
          <w:i w:val="false"/>
          <w:sz w:val="26"/>
          <w:szCs w:val="26"/>
          <w:rtl/>
        </w:rPr>
        <w:t xml:space="preserve">כיצד משתקף הפער בין הבניית "עשיית הצדק" בתרבות הפופולרית לבין מציאות הגבייה ויחסי הכוח בתביעות עבודה? ניתוח מקרה בוחן אישי</w:t>
      </w:r>
    </w:p>
    <w:p>
      <w:pPr>
        <w:bidi/>
        <w:spacing w:after="60" w:before="0" w:line="360" w:lineRule="auto"/>
        <w:jc w:val="center"/>
      </w:pPr>
      <w:r>
        <w:rPr>
          <w:rFonts w:ascii="Times New Roman" w:cs="David" w:eastAsia="David" w:hAnsi="Times New Roman"/>
          <w:b w:val="false"/>
          <w:i w:val="false"/>
          <w:sz w:val="26"/>
          <w:szCs w:val="26"/>
          <w:rtl/>
        </w:rPr>
        <w:t xml:space="preserve">מרצה: ______________</w:t>
      </w:r>
    </w:p>
    <w:p>
      <w:pPr>
        <w:bidi/>
        <w:spacing w:after="60" w:before="0" w:line="360" w:lineRule="auto"/>
        <w:jc w:val="center"/>
      </w:pPr>
      <w:r>
        <w:rPr>
          <w:rFonts w:ascii="Times New Roman" w:cs="David" w:eastAsia="David" w:hAnsi="Times New Roman"/>
          <w:b/>
          <w:bCs/>
          <w:i w:val="false"/>
          <w:sz w:val="26"/>
          <w:szCs w:val="26"/>
          <w:rtl/>
        </w:rPr>
        <w:t xml:space="preserve">מגישה: הדר פוקס</w:t>
      </w:r>
    </w:p>
    <w:p>
      <w:pPr>
        <w:bidi/>
        <w:spacing w:after="480" w:before="0" w:line="360" w:lineRule="auto"/>
        <w:jc w:val="center"/>
      </w:pPr>
      <w:r>
        <w:rPr>
          <w:rFonts w:ascii="Times New Roman" w:cs="David" w:eastAsia="David" w:hAnsi="Times New Roman"/>
          <w:b w:val="false"/>
          <w:i w:val="false"/>
          <w:sz w:val="26"/>
          <w:szCs w:val="26"/>
          <w:rtl/>
        </w:rPr>
        <w:t xml:space="preserve">ת"ז: ______________</w:t>
      </w:r>
    </w:p>
    <w:p>
      <w:pPr>
        <w:bidi/>
        <w:spacing w:after="0" w:before="0" w:line="360" w:lineRule="auto"/>
        <w:jc w:val="center"/>
      </w:pPr>
      <w:r>
        <w:rPr>
          <w:rFonts w:ascii="Times New Roman" w:cs="David" w:eastAsia="David" w:hAnsi="Times New Roman"/>
          <w:b w:val="false"/>
          <w:i w:val="false"/>
          <w:sz w:val="26"/>
          <w:szCs w:val="26"/>
          <w:rtl/>
        </w:rPr>
        <w:t xml:space="preserve">אב תשפ"ו, אוגוסט 2026</w:t>
      </w:r>
    </w:p>
    <w:p>
      <w:pPr>
        <w:pageBreakBefore/>
        <w:bidi/>
        <w:spacing w:after="240" w:line="360" w:lineRule="auto"/>
        <w:jc w:val="start"/>
      </w:pPr>
      <w:r>
        <w:rPr>
          <w:rFonts w:ascii="Times New Roman" w:cs="David" w:eastAsia="David" w:hAnsi="Times New Roman"/>
          <w:b/>
          <w:bCs/>
          <w:i w:val="false"/>
          <w:sz w:val="32"/>
          <w:szCs w:val="32"/>
          <w:rtl/>
        </w:rPr>
        <w:t xml:space="preserve">תוכן עניינים</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0"/>
        <w:gridCol w:w="1200"/>
      </w:tblGrid>
      <w:tr>
        <w:tc>
          <w:tcPr>
            <w:tcW w:type="dxa" w:w="7800"/>
            <w:tcBorders>
              <w:top w:val="none" w:color="FFFFFF" w:sz="0"/>
              <w:left w:val="none" w:color="FFFFFF" w:sz="0"/>
              <w:bottom w:val="none" w:color="FFFFFF" w:sz="0"/>
              <w:right w:val="none" w:color="FFFFFF" w:sz="0"/>
            </w:tcBorders>
          </w:tcPr>
          <w:p>
            <w:pPr>
              <w:bidi/>
              <w:spacing w:after="60" w:line="360" w:lineRule="auto"/>
              <w:jc w:val="start"/>
            </w:pPr>
            <w:r>
              <w:rPr>
                <w:rFonts w:ascii="Times New Roman" w:cs="David" w:eastAsia="David" w:hAnsi="Times New Roman"/>
                <w:b/>
                <w:bCs/>
                <w:i w:val="false"/>
                <w:sz w:val="24"/>
                <w:szCs w:val="24"/>
                <w:rtl/>
              </w:rPr>
              <w:t xml:space="preserve">מבוא</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bCs/>
                <w:i w:val="false"/>
                <w:sz w:val="24"/>
                <w:szCs w:val="24"/>
                <w:rtl/>
              </w:rPr>
              <w:t xml:space="preserve">3</w:t>
            </w:r>
          </w:p>
        </w:tc>
      </w:tr>
      <w:tr>
        <w:tc>
          <w:tcPr>
            <w:tcW w:type="dxa" w:w="7800"/>
            <w:tcBorders>
              <w:top w:val="none" w:color="FFFFFF" w:sz="0"/>
              <w:left w:val="none" w:color="FFFFFF" w:sz="0"/>
              <w:bottom w:val="none" w:color="FFFFFF" w:sz="0"/>
              <w:right w:val="none" w:color="FFFFFF" w:sz="0"/>
            </w:tcBorders>
          </w:tcPr>
          <w:p>
            <w:pPr>
              <w:bidi/>
              <w:spacing w:after="60" w:line="360" w:lineRule="auto"/>
              <w:jc w:val="start"/>
            </w:pPr>
            <w:r>
              <w:rPr>
                <w:rFonts w:ascii="Times New Roman" w:cs="David" w:eastAsia="David" w:hAnsi="Times New Roman"/>
                <w:b/>
                <w:bCs/>
                <w:i w:val="false"/>
                <w:sz w:val="24"/>
                <w:szCs w:val="24"/>
                <w:rtl/>
              </w:rPr>
              <w:t xml:space="preserve">סקירת ספרות</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bCs/>
                <w:i w:val="false"/>
                <w:sz w:val="24"/>
                <w:szCs w:val="24"/>
                <w:rtl/>
              </w:rPr>
              <w:t xml:space="preserve">4</w:t>
            </w:r>
          </w:p>
        </w:tc>
      </w:tr>
      <w:tr>
        <w:tc>
          <w:tcPr>
            <w:tcW w:type="dxa" w:w="7800"/>
            <w:tcBorders>
              <w:top w:val="none" w:color="FFFFFF" w:sz="0"/>
              <w:left w:val="none" w:color="FFFFFF" w:sz="0"/>
              <w:bottom w:val="none" w:color="FFFFFF" w:sz="0"/>
              <w:right w:val="none" w:color="FFFFFF" w:sz="0"/>
            </w:tcBorders>
          </w:tcPr>
          <w:p>
            <w:pPr>
              <w:bidi/>
              <w:spacing w:after="60" w:line="360" w:lineRule="auto"/>
              <w:ind w:left="567"/>
              <w:jc w:val="start"/>
            </w:pPr>
            <w:r>
              <w:rPr>
                <w:rFonts w:ascii="Times New Roman" w:cs="David" w:eastAsia="David" w:hAnsi="Times New Roman"/>
                <w:b w:val="false"/>
                <w:i w:val="false"/>
                <w:sz w:val="24"/>
                <w:szCs w:val="24"/>
                <w:rtl/>
              </w:rPr>
              <w:t xml:space="preserve">פרק 1: הייצוג מטעם המדינה ונגישות לצדק</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val="false"/>
                <w:i w:val="false"/>
                <w:sz w:val="24"/>
                <w:szCs w:val="24"/>
                <w:rtl/>
              </w:rPr>
              <w:t xml:space="preserve">4</w:t>
            </w:r>
          </w:p>
        </w:tc>
      </w:tr>
      <w:tr>
        <w:tc>
          <w:tcPr>
            <w:tcW w:type="dxa" w:w="7800"/>
            <w:tcBorders>
              <w:top w:val="none" w:color="FFFFFF" w:sz="0"/>
              <w:left w:val="none" w:color="FFFFFF" w:sz="0"/>
              <w:bottom w:val="none" w:color="FFFFFF" w:sz="0"/>
              <w:right w:val="none" w:color="FFFFFF" w:sz="0"/>
            </w:tcBorders>
          </w:tcPr>
          <w:p>
            <w:pPr>
              <w:bidi/>
              <w:spacing w:after="60" w:line="360" w:lineRule="auto"/>
              <w:ind w:left="567"/>
              <w:jc w:val="start"/>
            </w:pPr>
            <w:r>
              <w:rPr>
                <w:rFonts w:ascii="Times New Roman" w:cs="David" w:eastAsia="David" w:hAnsi="Times New Roman"/>
                <w:b w:val="false"/>
                <w:i w:val="false"/>
                <w:sz w:val="24"/>
                <w:szCs w:val="24"/>
                <w:rtl/>
              </w:rPr>
              <w:t xml:space="preserve">פרק 2: בין החוק שבספרים לחוק שבפעולה: תופעת ברק כהן</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val="false"/>
                <w:i w:val="false"/>
                <w:sz w:val="24"/>
                <w:szCs w:val="24"/>
                <w:rtl/>
              </w:rPr>
              <w:t xml:space="preserve">5</w:t>
            </w:r>
          </w:p>
        </w:tc>
      </w:tr>
      <w:tr>
        <w:tc>
          <w:tcPr>
            <w:tcW w:type="dxa" w:w="7800"/>
            <w:tcBorders>
              <w:top w:val="none" w:color="FFFFFF" w:sz="0"/>
              <w:left w:val="none" w:color="FFFFFF" w:sz="0"/>
              <w:bottom w:val="none" w:color="FFFFFF" w:sz="0"/>
              <w:right w:val="none" w:color="FFFFFF" w:sz="0"/>
            </w:tcBorders>
          </w:tcPr>
          <w:p>
            <w:pPr>
              <w:bidi/>
              <w:spacing w:after="60" w:line="360" w:lineRule="auto"/>
              <w:ind w:left="567"/>
              <w:jc w:val="start"/>
            </w:pPr>
            <w:r>
              <w:rPr>
                <w:rFonts w:ascii="Times New Roman" w:cs="David" w:eastAsia="David" w:hAnsi="Times New Roman"/>
                <w:b w:val="false"/>
                <w:i w:val="false"/>
                <w:sz w:val="24"/>
                <w:szCs w:val="24"/>
                <w:rtl/>
              </w:rPr>
              <w:t xml:space="preserve">פרק 3: הזמן המשפטי: קתרזיס של פרק טלוויזיה מול סחבת של שנים</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val="false"/>
                <w:i w:val="false"/>
                <w:sz w:val="24"/>
                <w:szCs w:val="24"/>
                <w:rtl/>
              </w:rPr>
              <w:t xml:space="preserve">6</w:t>
            </w:r>
          </w:p>
        </w:tc>
      </w:tr>
      <w:tr>
        <w:tc>
          <w:tcPr>
            <w:tcW w:type="dxa" w:w="7800"/>
            <w:tcBorders>
              <w:top w:val="none" w:color="FFFFFF" w:sz="0"/>
              <w:left w:val="none" w:color="FFFFFF" w:sz="0"/>
              <w:bottom w:val="none" w:color="FFFFFF" w:sz="0"/>
              <w:right w:val="none" w:color="FFFFFF" w:sz="0"/>
            </w:tcBorders>
          </w:tcPr>
          <w:p>
            <w:pPr>
              <w:bidi/>
              <w:spacing w:after="60" w:line="360" w:lineRule="auto"/>
              <w:jc w:val="start"/>
            </w:pPr>
            <w:r>
              <w:rPr>
                <w:rFonts w:ascii="Times New Roman" w:cs="David" w:eastAsia="David" w:hAnsi="Times New Roman"/>
                <w:b/>
                <w:bCs/>
                <w:i w:val="false"/>
                <w:sz w:val="24"/>
                <w:szCs w:val="24"/>
                <w:rtl/>
              </w:rPr>
              <w:t xml:space="preserve">מתודולוגיה</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bCs/>
                <w:i w:val="false"/>
                <w:sz w:val="24"/>
                <w:szCs w:val="24"/>
                <w:rtl/>
              </w:rPr>
              <w:t xml:space="preserve">8</w:t>
            </w:r>
          </w:p>
        </w:tc>
      </w:tr>
      <w:tr>
        <w:tc>
          <w:tcPr>
            <w:tcW w:type="dxa" w:w="7800"/>
            <w:tcBorders>
              <w:top w:val="none" w:color="FFFFFF" w:sz="0"/>
              <w:left w:val="none" w:color="FFFFFF" w:sz="0"/>
              <w:bottom w:val="none" w:color="FFFFFF" w:sz="0"/>
              <w:right w:val="none" w:color="FFFFFF" w:sz="0"/>
            </w:tcBorders>
          </w:tcPr>
          <w:p>
            <w:pPr>
              <w:bidi/>
              <w:spacing w:after="60" w:line="360" w:lineRule="auto"/>
              <w:jc w:val="start"/>
            </w:pPr>
            <w:r>
              <w:rPr>
                <w:rFonts w:ascii="Times New Roman" w:cs="David" w:eastAsia="David" w:hAnsi="Times New Roman"/>
                <w:b/>
                <w:bCs/>
                <w:i w:val="false"/>
                <w:sz w:val="24"/>
                <w:szCs w:val="24"/>
                <w:rtl/>
              </w:rPr>
              <w:t xml:space="preserve">ממצאים וניתוחם</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bCs/>
                <w:i w:val="false"/>
                <w:sz w:val="24"/>
                <w:szCs w:val="24"/>
                <w:rtl/>
              </w:rPr>
              <w:t xml:space="preserve">9</w:t>
            </w:r>
          </w:p>
        </w:tc>
      </w:tr>
      <w:tr>
        <w:tc>
          <w:tcPr>
            <w:tcW w:type="dxa" w:w="7800"/>
            <w:tcBorders>
              <w:top w:val="none" w:color="FFFFFF" w:sz="0"/>
              <w:left w:val="none" w:color="FFFFFF" w:sz="0"/>
              <w:bottom w:val="none" w:color="FFFFFF" w:sz="0"/>
              <w:right w:val="none" w:color="FFFFFF" w:sz="0"/>
            </w:tcBorders>
          </w:tcPr>
          <w:p>
            <w:pPr>
              <w:bidi/>
              <w:spacing w:after="60" w:line="360" w:lineRule="auto"/>
              <w:jc w:val="start"/>
            </w:pPr>
            <w:r>
              <w:rPr>
                <w:rFonts w:ascii="Times New Roman" w:cs="David" w:eastAsia="David" w:hAnsi="Times New Roman"/>
                <w:b/>
                <w:bCs/>
                <w:i w:val="false"/>
                <w:sz w:val="24"/>
                <w:szCs w:val="24"/>
                <w:rtl/>
              </w:rPr>
              <w:t xml:space="preserve">דיון ומסקנות</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bCs/>
                <w:i w:val="false"/>
                <w:sz w:val="24"/>
                <w:szCs w:val="24"/>
                <w:rtl/>
              </w:rPr>
              <w:t xml:space="preserve">12</w:t>
            </w:r>
          </w:p>
        </w:tc>
      </w:tr>
      <w:tr>
        <w:tc>
          <w:tcPr>
            <w:tcW w:type="dxa" w:w="7800"/>
            <w:tcBorders>
              <w:top w:val="none" w:color="FFFFFF" w:sz="0"/>
              <w:left w:val="none" w:color="FFFFFF" w:sz="0"/>
              <w:bottom w:val="none" w:color="FFFFFF" w:sz="0"/>
              <w:right w:val="none" w:color="FFFFFF" w:sz="0"/>
            </w:tcBorders>
          </w:tcPr>
          <w:p>
            <w:pPr>
              <w:bidi/>
              <w:spacing w:after="60" w:line="360" w:lineRule="auto"/>
              <w:jc w:val="start"/>
            </w:pPr>
            <w:r>
              <w:rPr>
                <w:rFonts w:ascii="Times New Roman" w:cs="David" w:eastAsia="David" w:hAnsi="Times New Roman"/>
                <w:b/>
                <w:bCs/>
                <w:i w:val="false"/>
                <w:sz w:val="24"/>
                <w:szCs w:val="24"/>
                <w:rtl/>
              </w:rPr>
              <w:t xml:space="preserve">סיכום</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bCs/>
                <w:i w:val="false"/>
                <w:sz w:val="24"/>
                <w:szCs w:val="24"/>
                <w:rtl/>
              </w:rPr>
              <w:t xml:space="preserve">13</w:t>
            </w:r>
          </w:p>
        </w:tc>
      </w:tr>
      <w:tr>
        <w:tc>
          <w:tcPr>
            <w:tcW w:type="dxa" w:w="7800"/>
            <w:tcBorders>
              <w:top w:val="none" w:color="FFFFFF" w:sz="0"/>
              <w:left w:val="none" w:color="FFFFFF" w:sz="0"/>
              <w:bottom w:val="none" w:color="FFFFFF" w:sz="0"/>
              <w:right w:val="none" w:color="FFFFFF" w:sz="0"/>
            </w:tcBorders>
          </w:tcPr>
          <w:p>
            <w:pPr>
              <w:bidi/>
              <w:spacing w:after="60" w:line="360" w:lineRule="auto"/>
              <w:jc w:val="start"/>
            </w:pPr>
            <w:r>
              <w:rPr>
                <w:rFonts w:ascii="Times New Roman" w:cs="David" w:eastAsia="David" w:hAnsi="Times New Roman"/>
                <w:b/>
                <w:bCs/>
                <w:i w:val="false"/>
                <w:sz w:val="24"/>
                <w:szCs w:val="24"/>
                <w:rtl/>
              </w:rPr>
              <w:t xml:space="preserve">רשימת מקורות ופילמוגרפיה</w:t>
            </w:r>
          </w:p>
        </w:tc>
        <w:tc>
          <w:tcPr>
            <w:tcW w:type="dxa" w:w="1200"/>
            <w:tcBorders>
              <w:top w:val="none" w:color="FFFFFF" w:sz="0"/>
              <w:left w:val="none" w:color="FFFFFF" w:sz="0"/>
              <w:bottom w:val="none" w:color="FFFFFF" w:sz="0"/>
              <w:right w:val="none" w:color="FFFFFF" w:sz="0"/>
            </w:tcBorders>
          </w:tcPr>
          <w:p>
            <w:pPr>
              <w:bidi/>
              <w:spacing w:after="60" w:line="360" w:lineRule="auto"/>
              <w:jc w:val="center"/>
            </w:pPr>
            <w:r>
              <w:rPr>
                <w:rFonts w:ascii="Times New Roman" w:cs="David" w:eastAsia="David" w:hAnsi="Times New Roman"/>
                <w:b/>
                <w:bCs/>
                <w:i w:val="false"/>
                <w:sz w:val="24"/>
                <w:szCs w:val="24"/>
                <w:rtl/>
              </w:rPr>
              <w:t xml:space="preserve">14</w:t>
            </w:r>
          </w:p>
        </w:tc>
      </w:tr>
    </w:tbl>
    <w:p>
      <w:pPr>
        <w:pageBreakBefore/>
        <w:bidi/>
        <w:spacing w:after="240" w:line="360" w:lineRule="auto"/>
        <w:jc w:val="start"/>
      </w:pPr>
      <w:r>
        <w:rPr>
          <w:rFonts w:ascii="Times New Roman" w:cs="David" w:eastAsia="David" w:hAnsi="Times New Roman"/>
          <w:b/>
          <w:bCs/>
          <w:i w:val="false"/>
          <w:sz w:val="32"/>
          <w:szCs w:val="32"/>
          <w:rtl/>
        </w:rPr>
        <w:t xml:space="preserve">מבוא</w:t>
      </w:r>
    </w:p>
    <w:p>
      <w:pPr>
        <w:bidi/>
        <w:spacing w:after="120" w:line="360" w:lineRule="auto"/>
        <w:jc w:val="both"/>
      </w:pPr>
      <w:r>
        <w:rPr>
          <w:rFonts w:ascii="Times New Roman" w:cs="David" w:eastAsia="David" w:hAnsi="Times New Roman"/>
          <w:b w:val="false"/>
          <w:i w:val="false"/>
          <w:sz w:val="24"/>
          <w:szCs w:val="24"/>
          <w:rtl/>
        </w:rPr>
        <w:t xml:space="preserve">את ההחלטה לתבוע את מקום העבודה שלי קיבלתי בלב כבד. אהבתי את העבודה הזאת. אהבתי את האנשים, את הצחוקים במשמרות, את התחושה שיש בשביל מה לקום בבוקר. אבל מאחורי האווירה הטובה עמדה הנהלה שהתייחסה לזכויות של העובדים כאל המלצה, וכשהבנתי שהפגיעה בזכויותיי אינה תקלה חד פעמית אלא שיטה, פניתי לדרך המשפטית.</w:t>
      </w:r>
    </w:p>
    <w:p>
      <w:pPr>
        <w:bidi/>
        <w:spacing w:after="120" w:line="360" w:lineRule="auto"/>
        <w:jc w:val="both"/>
      </w:pPr>
      <w:r>
        <w:rPr>
          <w:rFonts w:ascii="Times New Roman" w:cs="David" w:eastAsia="David" w:hAnsi="Times New Roman"/>
          <w:b w:val="false"/>
          <w:i w:val="false"/>
          <w:sz w:val="24"/>
          <w:szCs w:val="24"/>
          <w:rtl/>
        </w:rPr>
        <w:t xml:space="preserve">מה שקרה משם לא דמה לשום דבר שראיתי על המסך. מכיוון שלא היה לי כסף לעורך דין פרטי, יוצגתי על ידי עורך דין מטעם הסיוע המשפטי של המדינה. ההליך, שדמיינתי שיסתיים בתוך כמה חודשים, נמשך שנתיים וחצי. וגם הניצחון, כשסוף סוף הגיע, לא היה סוף: פסק הדין שקבע שמגיע לי כסף פשוט לא הרשים את המעסיק. הכסף הועבר רק אחרי שאיימתי בפתיחת תיק הוצאה לפועל ובעיקולים. הפער בין הציפייה, שנבנתה בעיקר מסדרות וסרטים, לבין מה שקרה בפועל, הוא הנושא של העבודה הזאת.</w:t>
      </w:r>
    </w:p>
    <w:p>
      <w:pPr>
        <w:bidi/>
        <w:spacing w:after="120" w:line="360" w:lineRule="auto"/>
        <w:jc w:val="both"/>
      </w:pPr>
      <w:r>
        <w:rPr>
          <w:rFonts w:ascii="Times New Roman" w:cs="David" w:eastAsia="David" w:hAnsi="Times New Roman"/>
          <w:b w:val="false"/>
          <w:i w:val="false"/>
          <w:sz w:val="24"/>
          <w:szCs w:val="24"/>
          <w:rtl/>
        </w:rPr>
        <w:t xml:space="preserve">הנושא נראה לי חשוב משתי סיבות. הראשונה היא שעבור עובדות ועובדים צעירים, התרבות הפופולרית היא המקור העיקרי לידע על עולם המשפט, והציפיות שהיא בונה משפיעות על ההחלטה אם לתבוע בכלל, על ההתמדה בהליך ועל האופן שבו חווים אותו. השנייה היא שהמרחק בין הדימוי למציאות אינו מקרי: הוא קשור ליחסי כוח בין עובדים למעסיקים, בדיוק באותם שלבים שהמסך כמעט אינו מראה, ההמתנה והגבייה.</w:t>
      </w:r>
    </w:p>
    <w:p>
      <w:pPr>
        <w:bidi/>
        <w:spacing w:after="120" w:line="360" w:lineRule="auto"/>
        <w:jc w:val="both"/>
      </w:pPr>
      <w:r>
        <w:rPr>
          <w:rFonts w:ascii="Times New Roman" w:cs="David" w:eastAsia="David" w:hAnsi="Times New Roman"/>
          <w:b w:val="false"/>
          <w:i w:val="false"/>
          <w:sz w:val="24"/>
          <w:szCs w:val="24"/>
          <w:rtl/>
        </w:rPr>
        <w:t xml:space="preserve">שאלת המחקר של העבודה היא: כיצד משתקף הפער בין הבניית "עשיית הצדק" בתרבות הפופולרית לבין מציאות הגבייה ויחסי הכוח בתביעות עבודה? העבודה נפתחת בסקירת ספרות בשלושה ראשי פרקים: הייצוג מטעם המדינה ונגישות לצדק; הפער בין החוק שבספרים לחוק שבפעולה לצד ניתוח תופעת ברק כהן; ומימד הזמן, בין קתרזיס טלוויזיוני לסחבת. לאחר מכן מוצגים פרק המתודולוגיה, המגדיר את המחקר כאוטואתנוגרפיה, פרק הממצאים המנתח את המקרה האישי לאור הספרות, פרק דיון ומסקנות, וסיכום.</w:t>
      </w:r>
    </w:p>
    <w:p>
      <w:pPr>
        <w:pageBreakBefore/>
        <w:bidi/>
        <w:spacing w:after="240" w:line="360" w:lineRule="auto"/>
        <w:jc w:val="start"/>
      </w:pPr>
      <w:r>
        <w:rPr>
          <w:rFonts w:ascii="Times New Roman" w:cs="David" w:eastAsia="David" w:hAnsi="Times New Roman"/>
          <w:b/>
          <w:bCs/>
          <w:i w:val="false"/>
          <w:sz w:val="32"/>
          <w:szCs w:val="32"/>
          <w:rtl/>
        </w:rPr>
        <w:t xml:space="preserve">סקירת ספרות</w:t>
      </w:r>
    </w:p>
    <w:p>
      <w:pPr>
        <w:bidi/>
        <w:spacing w:after="120" w:line="360" w:lineRule="auto"/>
        <w:jc w:val="both"/>
      </w:pPr>
      <w:r>
        <w:rPr>
          <w:rFonts w:ascii="Times New Roman" w:cs="David" w:eastAsia="David" w:hAnsi="Times New Roman"/>
          <w:b w:val="false"/>
          <w:i w:val="false"/>
          <w:sz w:val="24"/>
          <w:szCs w:val="24"/>
          <w:rtl/>
        </w:rPr>
        <w:t xml:space="preserve">סקירת הספרות מציגה את המסגרת המושגית לניתוח המקרה. נקודת המוצא היא שהמשפט אינו רק אוסף כללים אלא גם פרקטיקה תרבותית, שנוצרת ומתפרשת הרחק מאולם בית המשפט (מאוטנר, 2008). שלושת ראשי הפרקים עוקבים אחר שלושת צירי הפער שעלו מן המקרה: מי מייצג, מה קורה אחרי פסק הדין, וכמה זמן זה לוקח.</w:t>
      </w:r>
    </w:p>
    <w:p>
      <w:pPr>
        <w:bidi/>
        <w:spacing w:after="180" w:line="360" w:lineRule="auto"/>
        <w:jc w:val="start"/>
      </w:pPr>
      <w:r>
        <w:rPr>
          <w:rFonts w:ascii="Times New Roman" w:cs="David" w:eastAsia="David" w:hAnsi="Times New Roman"/>
          <w:b/>
          <w:bCs/>
          <w:i w:val="false"/>
          <w:sz w:val="28"/>
          <w:szCs w:val="28"/>
          <w:rtl/>
        </w:rPr>
        <w:t xml:space="preserve">פרק 1: הייצוג מטעם המדינה ונגישות לצדק</w:t>
      </w:r>
    </w:p>
    <w:p>
      <w:pPr>
        <w:bidi/>
        <w:spacing w:after="120" w:line="360" w:lineRule="auto"/>
        <w:jc w:val="both"/>
      </w:pPr>
      <w:r>
        <w:rPr>
          <w:rFonts w:ascii="Times New Roman" w:cs="David" w:eastAsia="David" w:hAnsi="Times New Roman"/>
          <w:b w:val="false"/>
          <w:i w:val="false"/>
          <w:sz w:val="24"/>
          <w:szCs w:val="24"/>
          <w:rtl/>
        </w:rPr>
        <w:t xml:space="preserve">התרבות הפופולרית היא מקור ידע משפטי מרכזי עבור הציבור הרחב. פרידמן (Friedman, 1989) טוען שרוב האנשים אינם פוגשים את המשפט דרך ספרי החוקים אלא דרך טלוויזיה, קולנוע ועיתונות, ולכן התודעה המשפטית של הציבור מעוצבת במידה רבה על ידי ייצוגים בדיוניים. שרווין (Sherwin, 2000) מרחיק לכת וטוען שהגבול בין המשפט לתרבות הפופולרית הולך ומיטשטש, עד שהציפיות שנבנו מול המסך מחלחלות אל אולם הדיונים עצמו ומשפיעות על התנהגותם של מתדיינים, מושבעים ואף שופטים. מנקודת מוצא זו, לדימוי של עורך הדין הציבורי יש משמעות מעשית: הוא קובע מה מצפה לקבל מי שפונה לסיוע משפטי.</w:t>
      </w:r>
    </w:p>
    <w:p>
      <w:pPr>
        <w:bidi/>
        <w:spacing w:after="120" w:line="360" w:lineRule="auto"/>
        <w:jc w:val="both"/>
      </w:pPr>
      <w:r>
        <w:rPr>
          <w:rFonts w:ascii="Times New Roman" w:cs="David" w:eastAsia="David" w:hAnsi="Times New Roman"/>
          <w:b w:val="false"/>
          <w:i w:val="false"/>
          <w:sz w:val="24"/>
          <w:szCs w:val="24"/>
          <w:rtl/>
        </w:rPr>
        <w:t xml:space="preserve">הדימוי הזה אינו מחמיא. בז'אנר המשפטי ההוליוודי הגיבור הוא כמעט תמיד עורך הדין הפרטי הכריזמטי, בעל החליפה והמשרד המרשים, ואילו עורכי הדין מטעם המדינה מוצגים כדמויות רקע: עמוסים, שחוקים, נטולי זמן ומשאבים, מי שנלקחים כברירת מחדל כשאין כסף (Asimow &amp; Mader, 2013). ההיררכיה הזאת מייצרת אצל הצופה משוואה פשוטה, ייצוג טוב הוא ייצוג שקונים, וייצוג חינם הוא פשרה מראש.</w:t>
      </w:r>
    </w:p>
    <w:p>
      <w:pPr>
        <w:bidi/>
        <w:spacing w:after="120" w:line="360" w:lineRule="auto"/>
        <w:jc w:val="both"/>
      </w:pPr>
      <w:r>
        <w:rPr>
          <w:rFonts w:ascii="Times New Roman" w:cs="David" w:eastAsia="David" w:hAnsi="Times New Roman"/>
          <w:b w:val="false"/>
          <w:i w:val="false"/>
          <w:sz w:val="24"/>
          <w:szCs w:val="24"/>
          <w:rtl/>
        </w:rPr>
        <w:t xml:space="preserve">להיעדרות יש משקל לא פחות מהנוכחות. הדרמה המשפטית מעדיפה את המשפט הפלילי רווי הדרמה, רצח, חטיפה, קונספירציה, ואילו דיני העבודה, עולם של תלושי שכר, שעות נוספות ופיצויי פיטורים, כמעט שאינם מיוצגים על המסך (Friedman, 1989). נוצר מצב מוזר: דווקא התחום המשפטי שעובד צעיר צפוי לפגוש בחייו אינו קיים במאגר הדימויים שלו, והציפיות שהוא מביא לבית הדין לעבודה מושאלות מז'אנר אחר לגמרי. מי שמגיעה לתבוע על הלנת שכר כשבראשה משפטי רצח מפרקליטים מבריקים, נקודת הייחוס שלה מוטה עוד לפני הדיון הראשון.</w:t>
      </w:r>
    </w:p>
    <w:p>
      <w:pPr>
        <w:bidi/>
        <w:spacing w:after="120" w:line="360" w:lineRule="auto"/>
        <w:jc w:val="both"/>
      </w:pPr>
      <w:r>
        <w:rPr>
          <w:rFonts w:ascii="Times New Roman" w:cs="David" w:eastAsia="David" w:hAnsi="Times New Roman"/>
          <w:b w:val="false"/>
          <w:i w:val="false"/>
          <w:sz w:val="24"/>
          <w:szCs w:val="24"/>
          <w:rtl/>
        </w:rPr>
        <w:t xml:space="preserve">מול הדימוי עומדת שאלת הנגישות לצדק. רבין (1998) מציג את זכות הגישה לערכאות כזכות יסוד בעלת מעמד חוקתי, שבלעדיה שאר הזכויות נותרות הצהרה ריקה, שכן זכות שאי אפשר לאכוף אינה זכות של ממש. אלא שמימוש הזכות תלוי במשאבים, בידע ובייצוג, ודווקא האוכלוסיות שזקוקות לה ביותר מתקשות להגיע אליה. סנדפור (Sandefur, 2019) מוסיפה שהמכשול המרכזי אינו בהכרח מחסור בעורכי דין אלא האופן שבו המוסדות עצמם בנויים: אנשים מן השורה אינם מזהים את בעיותיהם כבעיות משפטיות, חוששים מן המערכת, ולעיתים קרובות מוותרים עוד לפני שהתחילו.</w:t>
      </w:r>
    </w:p>
    <w:p>
      <w:pPr>
        <w:bidi/>
        <w:spacing w:after="120" w:line="360" w:lineRule="auto"/>
        <w:jc w:val="both"/>
      </w:pPr>
      <w:r>
        <w:rPr>
          <w:rFonts w:ascii="Times New Roman" w:cs="David" w:eastAsia="David" w:hAnsi="Times New Roman"/>
          <w:b w:val="false"/>
          <w:i w:val="false"/>
          <w:sz w:val="24"/>
          <w:szCs w:val="24"/>
          <w:rtl/>
        </w:rPr>
        <w:t xml:space="preserve">ההסבר המבני החד ביותר לפערים אלה הוא של גלנטר (Galanter, 1974), המבחין בין "שחקנים חוזרים", גופים מנוסים המתדיינים שוב ושוב, ובין "שחקנים חד פעמיים" המגיעים למערכת פעם אחת בחייהם. השחקן החוזר מכיר את הכללים, בונה אסטרטגיה לטווח ארוך ויכול להרשות לעצמו להפסיד בקרב אחד, ואילו השחקן החד פעמי תלוי כולו בתוצאה של תיק אחד. מעסיק הוא כמעט תמיד שחקן חוזר, ועובד תובע הוא כמעט תמיד שחקן חד פעמי. הדימוי התרבותי של הייצוג הציבורי כ"פחות טוב" נפגש אם כן עם מציאות מבנית של פערי כוח, והשאלה המתבקשת היא מה קורה כשהשחקן החד פעמי דווקא מנצח. בכך עוסק הפרק הבא.</w:t>
      </w:r>
    </w:p>
    <w:p>
      <w:pPr>
        <w:bidi/>
        <w:spacing w:after="180" w:line="360" w:lineRule="auto"/>
        <w:jc w:val="start"/>
      </w:pPr>
      <w:r>
        <w:rPr>
          <w:rFonts w:ascii="Times New Roman" w:cs="David" w:eastAsia="David" w:hAnsi="Times New Roman"/>
          <w:b/>
          <w:bCs/>
          <w:i w:val="false"/>
          <w:sz w:val="28"/>
          <w:szCs w:val="28"/>
          <w:rtl/>
        </w:rPr>
        <w:t xml:space="preserve">פרק 2: בין החוק שבספרים לחוק שבפעולה: תופעת ברק כהן</w:t>
      </w:r>
    </w:p>
    <w:p>
      <w:pPr>
        <w:bidi/>
        <w:spacing w:after="120" w:line="360" w:lineRule="auto"/>
        <w:jc w:val="both"/>
      </w:pPr>
      <w:r>
        <w:rPr>
          <w:rFonts w:ascii="Times New Roman" w:cs="David" w:eastAsia="David" w:hAnsi="Times New Roman"/>
          <w:b w:val="false"/>
          <w:i w:val="false"/>
          <w:sz w:val="24"/>
          <w:szCs w:val="24"/>
          <w:rtl/>
        </w:rPr>
        <w:t xml:space="preserve">לפני יותר ממאה שנה טבע פאונד (Pound, 1910) את ההבחנה שבין "החוק שבספרים" (law in books) ובין "החוק שבפעולה" (law in action): הכללים הכתובים לחוד, והאופן שבו הם פועלים בעולם לחוד. ההבחנה הזאת חדה במיוחד בשלב הגבייה. פסק דין כספי שאינו נאכף הוא הדוגמה הטהורה לחוק שבספרים, מסמך שמכריז על צדק אך אינו מזיז שקל אחד ממקומו. עשיית הצדק אינה מסתיימת בהכרעה השיפוטית אלא במימושה, ובין השתיים משתרע מרחב שבו פועלים יחסי הכוח מן הפרק הקודם.</w:t>
      </w:r>
    </w:p>
    <w:p>
      <w:pPr>
        <w:bidi/>
        <w:spacing w:after="120" w:line="360" w:lineRule="auto"/>
        <w:jc w:val="both"/>
      </w:pPr>
      <w:r>
        <w:rPr>
          <w:rFonts w:ascii="Times New Roman" w:cs="David" w:eastAsia="David" w:hAnsi="Times New Roman"/>
          <w:b w:val="false"/>
          <w:i w:val="false"/>
          <w:sz w:val="24"/>
          <w:szCs w:val="24"/>
          <w:rtl/>
        </w:rPr>
        <w:t xml:space="preserve">איוויק וסילבי (Ewick &amp; Silbey, 1998) מתארות שלוש עמדות של תודעה משפטית: עמידה "לפני החוק" ביראה ובאמון בהגינותו, פעולה "עם החוק" כמשחק אסטרטגי שמנצלים בו כללים ומשאבים, ופעולה "נגד החוק" מתוך הכרה שהמערכת אינה פועלת עבורך. המעבר בין העמדות אינו תיאורטי בלבד. הוא מתרחש בתוך ביוגרפיה של אדם אחד, למשל כאשר מי שהאמינה בכוחו של פסק דין מגלה שהוא אינו נאכף מאליו, ונאלצת לעבור מעמדה של אמון לעמדה של הפעלת כוח.</w:t>
      </w:r>
    </w:p>
    <w:p>
      <w:pPr>
        <w:bidi/>
        <w:spacing w:after="120" w:line="360" w:lineRule="auto"/>
        <w:jc w:val="both"/>
      </w:pPr>
      <w:r>
        <w:rPr>
          <w:rFonts w:ascii="Times New Roman" w:cs="David" w:eastAsia="David" w:hAnsi="Times New Roman"/>
          <w:b w:val="false"/>
          <w:i w:val="false"/>
          <w:sz w:val="24"/>
          <w:szCs w:val="24"/>
          <w:rtl/>
        </w:rPr>
        <w:t xml:space="preserve">כשהאכיפה הפורמלית נחלשת, נפתח פתח לכלי אכיפה חברתיים. סקיל (Skeel, 2001) מנתח את השיימינג כמנגנון ענישה ואכיפה כלפי תאגידים ובעלי כוח, וטוען שפגיעה במוניטין עשויה להכאיב לשחקן כלכלי חזק יותר מסנקציה משפטית רגילה, דווקא משום שהמוניטין הוא נכס שוקי. במילים אחרות, מקום שבו פסק הדין אינו מדבר אל כיסו של החייב, הבושה הפומבית מדברת אליו היטב.</w:t>
      </w:r>
    </w:p>
    <w:p>
      <w:pPr>
        <w:bidi/>
        <w:spacing w:after="120" w:line="360" w:lineRule="auto"/>
        <w:jc w:val="both"/>
      </w:pPr>
      <w:r>
        <w:rPr>
          <w:rFonts w:ascii="Times New Roman" w:cs="David" w:eastAsia="David" w:hAnsi="Times New Roman"/>
          <w:b w:val="false"/>
          <w:i w:val="false"/>
          <w:sz w:val="24"/>
          <w:szCs w:val="24"/>
          <w:rtl/>
        </w:rPr>
        <w:t xml:space="preserve">גם במישור המוסדי, גביית פסק דין אינה מתרחשת מאליה. שיטת ההוצאה לפועל מטילה את יוזמת האכיפה על הזוכה: עליו לפתוח תיק, לאתר נכסים, לבקש עיקולים, ולשאת בינתיים בעלויות ובהמתנה. נטל האכיפה מחזיר לזירה את יתרונות השחקן החוזר (Galanter, 1974): חייב מנוסה ובעל אמצעים יודע למשוך זמן גם בשלב הזה, ואילו הזוכה החד פעמי, שמיצה את כוחותיו בהליך העיקרי, נדרש לפתוח חזית חדשה. פסק הדין, שנראה כקו הסיום, מתגלה כקו זינוק.</w:t>
      </w:r>
    </w:p>
    <w:p>
      <w:pPr>
        <w:bidi/>
        <w:spacing w:after="120" w:line="360" w:lineRule="auto"/>
        <w:jc w:val="both"/>
      </w:pPr>
      <w:r>
        <w:rPr>
          <w:rFonts w:ascii="Times New Roman" w:cs="David" w:eastAsia="David" w:hAnsi="Times New Roman"/>
          <w:b w:val="false"/>
          <w:i w:val="false"/>
          <w:sz w:val="24"/>
          <w:szCs w:val="24"/>
          <w:rtl/>
        </w:rPr>
        <w:t xml:space="preserve">נקודת המפגש הישראלית של הרעיונות האלה היא תופעת ברק כהן ותנועת "באים לבנקאים", כפי שתועדה בסרט הדוקומנטרי "משפט הבנקאים" (לילטי, 2022). כהן, עורך דין במקצועו, זנח את המסלול המקובל של כתבי טענות ופנה לפעולה ישירה: הגעה לבתיהם של ראשי המערכת הבנקאית, שירה מול חלונותיהם, ובהם השיר "באנו חושך לגרש" שהפך לסמל המחאה, והפיכת המוניטין האישי שלהם לזירת ההתדיינות האמיתית. הסרט מציג תרבות נגד במלוא מובן המילה: הוא מערער על המיתוס שלפיו פסק הדין הוא סוף הסיפור, ומציג את הטענה שמול בעלי הון אפקטיבית דווקא שפת הכוח הישירה, זו הפונה לכיס ולשם הטוב. בכך הוא הופך את היוצרות של הדרמה המשפטית הקלאסית, שבה האולם הוא הזירה והפסק הוא הקתרזיס.</w:t>
      </w:r>
    </w:p>
    <w:p>
      <w:pPr>
        <w:bidi/>
        <w:spacing w:after="120" w:line="360" w:lineRule="auto"/>
        <w:jc w:val="both"/>
      </w:pPr>
      <w:r>
        <w:rPr>
          <w:rFonts w:ascii="Times New Roman" w:cs="David" w:eastAsia="David" w:hAnsi="Times New Roman"/>
          <w:b w:val="false"/>
          <w:i w:val="false"/>
          <w:sz w:val="24"/>
          <w:szCs w:val="24"/>
          <w:rtl/>
        </w:rPr>
        <w:t xml:space="preserve">במונחיו של שרווין (Sherwin, 2000), הסרט מדגים כיצד התרבות הפופולרית אינה רק משקפת את המשפט אלא מתערבת בו: המצלמה עצמה הפכה לחלק מהמאבק, וכל עימות מתועד נהפך לאירוע תקשורתי שמעצים את אפקט השיימינג. הצופה יוצא מהסרט עם שיעור הפוך מזה של הדרמה הקלאסית. לא "המערכת תעשה צדק", אלא "צדק הוא דבר שגובים".</w:t>
      </w:r>
    </w:p>
    <w:p>
      <w:pPr>
        <w:bidi/>
        <w:spacing w:after="120" w:line="360" w:lineRule="auto"/>
        <w:jc w:val="both"/>
      </w:pPr>
      <w:r>
        <w:rPr>
          <w:rFonts w:ascii="Times New Roman" w:cs="David" w:eastAsia="David" w:hAnsi="Times New Roman"/>
          <w:b w:val="false"/>
          <w:i w:val="false"/>
          <w:sz w:val="24"/>
          <w:szCs w:val="24"/>
          <w:rtl/>
        </w:rPr>
        <w:t xml:space="preserve">תופעת ברק כהן מדגימה שהפער בין החוק שבספרים לחוק שבפעולה אינו רק כשל טכני של מערכת האכיפה, אלא חוויה תרבותית שסביבה נוצרים טקסטים, שירים וסרטים. אל הפער הזה מתווסף מימד נוסף, שקט יותר אך לא פחות מכריע: הזמן. בו עוסק הפרק השלישי.</w:t>
      </w:r>
    </w:p>
    <w:p>
      <w:pPr>
        <w:bidi/>
        <w:spacing w:after="180" w:line="360" w:lineRule="auto"/>
        <w:jc w:val="start"/>
      </w:pPr>
      <w:r>
        <w:rPr>
          <w:rFonts w:ascii="Times New Roman" w:cs="David" w:eastAsia="David" w:hAnsi="Times New Roman"/>
          <w:b/>
          <w:bCs/>
          <w:i w:val="false"/>
          <w:sz w:val="28"/>
          <w:szCs w:val="28"/>
          <w:rtl/>
        </w:rPr>
        <w:t xml:space="preserve">פרק 3: הזמן המשפטי: קתרזיס של פרק טלוויזיה מול סחבת של שנים</w:t>
      </w:r>
    </w:p>
    <w:p>
      <w:pPr>
        <w:bidi/>
        <w:spacing w:after="120" w:line="360" w:lineRule="auto"/>
        <w:jc w:val="both"/>
      </w:pPr>
      <w:r>
        <w:rPr>
          <w:rFonts w:ascii="Times New Roman" w:cs="David" w:eastAsia="David" w:hAnsi="Times New Roman"/>
          <w:b w:val="false"/>
          <w:i w:val="false"/>
          <w:sz w:val="24"/>
          <w:szCs w:val="24"/>
          <w:rtl/>
        </w:rPr>
        <w:t xml:space="preserve">הזמן הוא אחד הפערים העמוקים ביותר בין המשפט המיוצג למשפט הממשי. בדרמה המשפטית הטלוויזיונית העלילה נפתחת ונסגרת בתוך פרק אחד או עונה אחת: עבירה, חקירה, משפט והכרעה נדחסים לשעה של שידור, והצדק מגיע כשיא רגשי מהיר ונקי (Friedman, 1989). קונבנציות הז'אנר מחייבות דחיסת זמן קיצונית, שכן המתנה אינה טלוויזיונית: בסדרה כמו "יריבים" (Suits) עסקאות ותיקים שבמציאות היו נמשכים שנים נפתרים בין פרסומת לפרסומת (Korsh, 2011-2019; Asimow &amp; Mader, 2013). הצופה מפנים לוח זמנים בדיוני שבו עשיית צדק היא עניין של שבועות.</w:t>
      </w:r>
    </w:p>
    <w:p>
      <w:pPr>
        <w:bidi/>
        <w:spacing w:after="120" w:line="360" w:lineRule="auto"/>
        <w:jc w:val="both"/>
      </w:pPr>
      <w:r>
        <w:rPr>
          <w:rFonts w:ascii="Times New Roman" w:cs="David" w:eastAsia="David" w:hAnsi="Times New Roman"/>
          <w:b w:val="false"/>
          <w:i w:val="false"/>
          <w:sz w:val="24"/>
          <w:szCs w:val="24"/>
          <w:rtl/>
        </w:rPr>
        <w:t xml:space="preserve">הדחיסה הזאת אינה מקרית אלא מבנית: הזמן המת של המשפט פשוט אינו ניתן לצילום. אין סצנה מעניינת בהמתנה של חצי שנה בין דיון לדיון, בבקשת דחייה שמאושרת בהחלטה של שורה אחת, או בתיק ששוכב על מדף. העריכה הקולנועית גוזרת החוצה בדיוק את החלקים שמהם עשוי ההליך האמיתי, ומשאירה רצף מהודק של רגעים דרמטיים (Asimow &amp; Mader, 2013). התוצאה עמוקה מסתם קיצור: הצדק מוצג כאירוע, לא כתהליך. שרווין (Sherwin, 2000) מזהיר שהציפיות האלה אינן נשארות בסלון, הן מגיעות עם המתדיין אל האולם, והופכות את ההמתנה הרגילה והצפויה של ההליך לחוויה של כשל וקיפוח.</w:t>
      </w:r>
    </w:p>
    <w:p>
      <w:pPr>
        <w:bidi/>
        <w:spacing w:after="120" w:line="360" w:lineRule="auto"/>
        <w:jc w:val="both"/>
      </w:pPr>
      <w:r>
        <w:rPr>
          <w:rFonts w:ascii="Times New Roman" w:cs="David" w:eastAsia="David" w:hAnsi="Times New Roman"/>
          <w:b w:val="false"/>
          <w:i w:val="false"/>
          <w:sz w:val="24"/>
          <w:szCs w:val="24"/>
          <w:rtl/>
        </w:rPr>
        <w:t xml:space="preserve">הספרות הסוציו־משפטית מציירת תמונה הפוכה, שבה הסכסוך עצמו הוא תהליך ארוך עוד לפני שהגיע לבית המשפט. פלסטינר ואחרים (Felstiner et al., 1980) מתארים את השתלשלות הסכסוך בשלושה שלבים: זיהוי הפגיעה (naming), ייחוסה לאחראי (blaming) והעלאת הדרישה (claiming), וכל שלב עשוי להימשך חודשים. ההליך הפורמלי שמתחיל לאחר מכן מוסיף שנים משלו, של כתבי טענות, דחיות ודיונים מקדמיים.</w:t>
      </w:r>
    </w:p>
    <w:p>
      <w:pPr>
        <w:bidi/>
        <w:spacing w:after="120" w:line="360" w:lineRule="auto"/>
        <w:jc w:val="both"/>
      </w:pPr>
      <w:r>
        <w:rPr>
          <w:rFonts w:ascii="Times New Roman" w:cs="David" w:eastAsia="David" w:hAnsi="Times New Roman"/>
          <w:b w:val="false"/>
          <w:i w:val="false"/>
          <w:sz w:val="24"/>
          <w:szCs w:val="24"/>
          <w:rtl/>
        </w:rPr>
        <w:t xml:space="preserve">לזמן המתמשך יש גם השפעה ראייתית ורגשית על התביעה עצמה. ככל שההליך מתארך, זיכרונות מיטשטשים, עדים מחליפים מקום עבודה ומאבדים עניין, ומסמכים הולכים לאיבוד, כך שעצם היכולת להוכיח את הפגיעה נשחקת עם הזמן (Felstiner et al., 1980). במקביל נשחק גם הדחף הרגשי: הכעס החד של הרגעים הראשונים מתעמעם, והופך לעייפות שמבקשת רק לסיים. בעל הדין נדרש שוב ושוב להחיות את הפגיעה, בתצהירים, בהכנות לדיון ובחקירות, בדיוק כשהוא מנסה להשאיר אותה מאחור (Feeley, 1979). ההליך תובע ממנו לחיות בשני זמנים במקביל: זמן ההחלמה וזמן התביעה, והשניים מושכים לכיוונים הפוכים.</w:t>
      </w:r>
    </w:p>
    <w:p>
      <w:pPr>
        <w:bidi/>
        <w:spacing w:after="120" w:line="360" w:lineRule="auto"/>
        <w:jc w:val="both"/>
      </w:pPr>
      <w:r>
        <w:rPr>
          <w:rFonts w:ascii="Times New Roman" w:cs="David" w:eastAsia="David" w:hAnsi="Times New Roman"/>
          <w:b w:val="false"/>
          <w:i w:val="false"/>
          <w:sz w:val="24"/>
          <w:szCs w:val="24"/>
          <w:rtl/>
        </w:rPr>
        <w:t xml:space="preserve">הזמן הזה אינו ניטרלי. פילי (Feeley, 1979) טבע את הקביעה שההליך עצמו הוא העונש: עלויות ההמתנה, ימי העבודה האבודים, אי הוודאות והשחיקה הנפשית מוטלים על בעל הדין החלש בלי קשר לתוצאה הסופית. גלנטר (Galanter, 1974) משלים את התמונה מנקודת מבטם של יחסי הכוח: לשחקן החוזר יש אורך נשימה, והוא יכול להמתין, לדחות ולמשוך זמן כאסטרטגיה, בעוד שעבור השחקן החד פעמי כל חודש נוסף הוא מחיר כלכלי ורגשי. הסחבת אינה תקלה אלא משאב שמחלק את כוחו באופן לא שוויוני.</w:t>
      </w:r>
    </w:p>
    <w:p>
      <w:pPr>
        <w:bidi/>
        <w:spacing w:after="120" w:line="360" w:lineRule="auto"/>
        <w:jc w:val="both"/>
      </w:pPr>
      <w:r>
        <w:rPr>
          <w:rFonts w:ascii="Times New Roman" w:cs="David" w:eastAsia="David" w:hAnsi="Times New Roman"/>
          <w:b w:val="false"/>
          <w:i w:val="false"/>
          <w:sz w:val="24"/>
          <w:szCs w:val="24"/>
          <w:rtl/>
        </w:rPr>
        <w:t xml:space="preserve">לזמן יש גם תפקיד בעיצוב התוצאה עצמה. ככל שההליך מתארך, גובר הלחץ על הצד המותש להתפשר בסכום נמוך מזכאותו, רק כדי לסיים. הצעת פשרה נמוכה נעשית מפתה לא בזכות תוכנה אלא בזכות עיתויה, אחרי דחייה מכאיבה או לפני דיון רחוק. פערי אורך הנשימה הופכים כך את הסחבת לכלי מיקוח של ממש (Galanter, 1974): התביעה המתמשכת היא נכס שערכו נשחק מדי חודש, אבל רק עבור אחד הצדדים.</w:t>
      </w:r>
    </w:p>
    <w:p>
      <w:pPr>
        <w:bidi/>
        <w:spacing w:after="120" w:line="360" w:lineRule="auto"/>
        <w:jc w:val="both"/>
      </w:pPr>
      <w:r>
        <w:rPr>
          <w:rFonts w:ascii="Times New Roman" w:cs="David" w:eastAsia="David" w:hAnsi="Times New Roman"/>
          <w:b w:val="false"/>
          <w:i w:val="false"/>
          <w:sz w:val="24"/>
          <w:szCs w:val="24"/>
          <w:rtl/>
        </w:rPr>
        <w:t xml:space="preserve">בהקשר של יחסי עבודה, אי הסימטריה הזאת מקבלת פנים קונקרטיות במיוחד. עבור מעסיק פעיל, תביעה של עובדת לשעבר היא סעיף בתקציב וסיכון מנוהל, שמטופל על ידי אנשי מקצוע במקביל להתנהלות העסק. עבור עובדת צעירה, אותו תיק הוא אירוע מרכזי בחיים: הוא נוגע בשכר שחסר בחשבון, בתחושת הערך העצמי ובזיכרון של מקום שהיה פעם בית. גלנטר (Galanter, 1974) היה מנסח זאת כך: השחקן החוזר מתדיין על אינטרס, והשחקן החד פעמי מתדיין על עצמו. לכן כל חודש של סחבת אינו רק עלות כלכלית לא שוויונית, אלא גם עלות נפשית לא שוויונית, וההמתנה הופכת בעצמה לזירת הכרעה.</w:t>
      </w:r>
    </w:p>
    <w:p>
      <w:pPr>
        <w:bidi/>
        <w:spacing w:after="120" w:line="360" w:lineRule="auto"/>
        <w:jc w:val="both"/>
      </w:pPr>
      <w:r>
        <w:rPr>
          <w:rFonts w:ascii="Times New Roman" w:cs="David" w:eastAsia="David" w:hAnsi="Times New Roman"/>
          <w:b w:val="false"/>
          <w:i w:val="false"/>
          <w:sz w:val="24"/>
          <w:szCs w:val="24"/>
          <w:rtl/>
        </w:rPr>
        <w:t xml:space="preserve">שלושת ראשי הפרקים מספקים יחד את המסגרת לשאלת המחקר: הדימוי התרבותי של הייצוג, הפער שבין פסק הדין למימושו, והזמן כזירת כוח. פרק הממצאים יבחן כיצד שלושת הצירים האלה התגלמו במקרה בוחן אחד, שלי.</w:t>
      </w:r>
    </w:p>
    <w:p>
      <w:pPr>
        <w:pageBreakBefore/>
        <w:bidi/>
        <w:spacing w:after="240" w:line="360" w:lineRule="auto"/>
        <w:jc w:val="start"/>
      </w:pPr>
      <w:r>
        <w:rPr>
          <w:rFonts w:ascii="Times New Roman" w:cs="David" w:eastAsia="David" w:hAnsi="Times New Roman"/>
          <w:b/>
          <w:bCs/>
          <w:i w:val="false"/>
          <w:sz w:val="32"/>
          <w:szCs w:val="32"/>
          <w:rtl/>
        </w:rPr>
        <w:t xml:space="preserve">מתודולוגיה</w:t>
      </w:r>
    </w:p>
    <w:p>
      <w:pPr>
        <w:bidi/>
        <w:spacing w:after="120" w:line="360" w:lineRule="auto"/>
        <w:jc w:val="both"/>
      </w:pPr>
      <w:r>
        <w:rPr>
          <w:rFonts w:ascii="Times New Roman" w:cs="David" w:eastAsia="David" w:hAnsi="Times New Roman"/>
          <w:b w:val="false"/>
          <w:i w:val="false"/>
          <w:sz w:val="24"/>
          <w:szCs w:val="24"/>
          <w:rtl/>
        </w:rPr>
        <w:t xml:space="preserve">העבודה נשענת על מחקר איכותני בפרדיגמה פרשנית, שמטרתו אינה למדוד תופעה אלא להבין את המשמעות שבני אדם מעניקים לה. כתיבה איכותנית מפרקת מציאות חיה ומבנה אותה מחדש כטקסט, מתוך מודעות למקומו של החוקר בתוך הסיפור שהוא מספר (שלסקי ואלפרט, 2007).</w:t>
      </w:r>
    </w:p>
    <w:p>
      <w:pPr>
        <w:bidi/>
        <w:spacing w:after="120" w:line="360" w:lineRule="auto"/>
        <w:jc w:val="both"/>
      </w:pPr>
      <w:r>
        <w:rPr>
          <w:rFonts w:ascii="Times New Roman" w:cs="David" w:eastAsia="David" w:hAnsi="Times New Roman"/>
          <w:b w:val="false"/>
          <w:i w:val="false"/>
          <w:sz w:val="24"/>
          <w:szCs w:val="24"/>
          <w:rtl/>
        </w:rPr>
        <w:t xml:space="preserve">בתוך המסגרת הזאת נבחרה שיטת האוטואתנוגרפיה: מחקר המשתמש בחוויה האישית של החוקרת כנתון מחקרי, ומנתח אותה בכלים אנליטיים כדי להאיר תופעה תרבותית רחבה (Ellis et al., 2011). האוטואתנוגרפיה מחברת בין האוטוביוגרפי לאתנוגרפי: הסיפור האישי אינו מובא לשם עצמו אלא כחלון אל האופן שבו מוסדות, דימויים ויחסי כוח נחווים מבפנים. בעבודה זו אני משמשת גם חוקרת וגם מקרה הבוחן, ותביעת העבודה שניהלתי היא שדה המחקר.</w:t>
      </w:r>
    </w:p>
    <w:p>
      <w:pPr>
        <w:bidi/>
        <w:spacing w:after="120" w:line="360" w:lineRule="auto"/>
        <w:jc w:val="both"/>
      </w:pPr>
      <w:r>
        <w:rPr>
          <w:rFonts w:ascii="Times New Roman" w:cs="David" w:eastAsia="David" w:hAnsi="Times New Roman"/>
          <w:b w:val="false"/>
          <w:i w:val="false"/>
          <w:sz w:val="24"/>
          <w:szCs w:val="24"/>
          <w:rtl/>
        </w:rPr>
        <w:t xml:space="preserve">חומרי המחקר כוללים את זיכרונותיי מההליך, מסמכים מן התיק והתכתבויות מהתקופה. הניתוח נעשה בשיטה תמטית, לאורך שלושת הצירים שהוגדרו בסקירת הספרות: הייצוג מטעם המדינה, הפער שבין פסק הדין למימושו, ומימד הזמן. לשיטה מגבלות מוכרות, ובראשן סובייקטיביות ויכולת הכללה מוגבלת ממקרה יחיד, אך כוחה בעומק ובגישה לחוויה שאין לה תיעוד חיצוני (Ellis et al., 2011). מטעמי אתיקה ופרטיות, שמות ופרטים מזהים של מקום העבודה והמעורבים הושמטו.</w:t>
      </w:r>
    </w:p>
    <w:p>
      <w:pPr>
        <w:bidi/>
        <w:spacing w:after="120" w:line="360" w:lineRule="auto"/>
        <w:jc w:val="both"/>
      </w:pPr>
      <w:r>
        <w:rPr>
          <w:rFonts w:ascii="Times New Roman" w:cs="David" w:eastAsia="David" w:hAnsi="Times New Roman"/>
          <w:b w:val="false"/>
          <w:i w:val="false"/>
          <w:sz w:val="24"/>
          <w:szCs w:val="24"/>
          <w:rtl/>
        </w:rPr>
        <w:t xml:space="preserve">כדי לשמור על תוקף, הניתוח מעוגן בספרות בכל שלב: כל פרשנות של אירוע נבחנת מול מושג תיאורטי שהוגדר בסקירה, והכתיבה מקפידה להפריד בין תיאור ההתרחשות ובין פרשנותה. הרפלקסיביות, כלומר המודעות לעמדתי הכפולה כמי שחוותה את האירועים וכמי שמנתחת אותם, אינה חולשה של השיטה אלא חלק מהגדרתה (Ellis et al., 2011).</w:t>
      </w:r>
    </w:p>
    <w:p>
      <w:pPr>
        <w:pageBreakBefore/>
        <w:bidi/>
        <w:spacing w:after="240" w:line="360" w:lineRule="auto"/>
        <w:jc w:val="start"/>
      </w:pPr>
      <w:r>
        <w:rPr>
          <w:rFonts w:ascii="Times New Roman" w:cs="David" w:eastAsia="David" w:hAnsi="Times New Roman"/>
          <w:b/>
          <w:bCs/>
          <w:i w:val="false"/>
          <w:sz w:val="32"/>
          <w:szCs w:val="32"/>
          <w:rtl/>
        </w:rPr>
        <w:t xml:space="preserve">ממצאים וניתוחם</w:t>
      </w:r>
    </w:p>
    <w:p>
      <w:pPr>
        <w:bidi/>
        <w:spacing w:after="120" w:line="360" w:lineRule="auto"/>
        <w:jc w:val="start"/>
      </w:pPr>
      <w:r>
        <w:rPr>
          <w:rFonts w:ascii="Times New Roman" w:cs="David" w:eastAsia="David" w:hAnsi="Times New Roman"/>
          <w:b/>
          <w:bCs/>
          <w:i w:val="false"/>
          <w:sz w:val="24"/>
          <w:szCs w:val="24"/>
          <w:u w:val="single"/>
          <w:rtl/>
        </w:rPr>
        <w:t xml:space="preserve">לוקחים מה שיש: הייצוג מטעם המדינה</w:t>
      </w:r>
    </w:p>
    <w:p>
      <w:pPr>
        <w:bidi/>
        <w:spacing w:after="120" w:line="360" w:lineRule="auto"/>
        <w:jc w:val="both"/>
      </w:pPr>
      <w:r>
        <w:rPr>
          <w:rFonts w:ascii="Times New Roman" w:cs="David" w:eastAsia="David" w:hAnsi="Times New Roman"/>
          <w:b w:val="false"/>
          <w:i w:val="false"/>
          <w:sz w:val="24"/>
          <w:szCs w:val="24"/>
          <w:rtl/>
        </w:rPr>
        <w:t xml:space="preserve">כשהחלטתי לתבוע, הדבר הראשון שגיליתי היה שאת עורך הדין של הסרטים אני לא יכולה להרשות לעצמי. הפנייה לסיוע המשפטי לא הרגישה כמו בחירה אלא כמו ברירת מחדל, בדיוק כפי שהמסך לימד אותי להרגיש: מי שמגיע עם עורך דין מהמדינה כבר סומן כצד החלש (Asimow &amp; Mader, 2013). זכור לי היטב הרגע שבו סיפרתי לחברה על הייצוג, והיא שאלה בזהירות אם "זה לא יפגע לי בתיק". הציפייה התרבותית קבעה את נקודת הפתיחה הרגשית של ההליך עוד לפני הדיון הראשון.</w:t>
      </w:r>
    </w:p>
    <w:p>
      <w:pPr>
        <w:bidi/>
        <w:spacing w:after="120" w:line="360" w:lineRule="auto"/>
        <w:jc w:val="both"/>
      </w:pPr>
      <w:r>
        <w:rPr>
          <w:rFonts w:ascii="Times New Roman" w:cs="David" w:eastAsia="David" w:hAnsi="Times New Roman"/>
          <w:b w:val="false"/>
          <w:i w:val="false"/>
          <w:sz w:val="24"/>
          <w:szCs w:val="24"/>
          <w:rtl/>
        </w:rPr>
        <w:t xml:space="preserve">ראוי לתאר גם את מה שקדם לפנייה: חודשים של התלבטות. אהבתי את מקום העבודה ואת האנשים שבו, וחששתי שהתביעה תיראה כבגידה בחבר'ה. בדיעבד, ההיסוס שלי התנהל בדיוק לפי השלבים שמתארים פלסטינר ואחרים (Felstiner et al., 1980): לקח זמן עד שקראתי לפגיעה בשמה, עוד זמן עד שהפניתי את האשמה מהמערכת אל ההנהלה, ורק בסוף העליתי דרישה רשמית. ההפרדה שעשיתי בין החבר'ה, שאותם לא רציתי לפגוע, ובין ההנהלה שפגעה בי, היא שאפשרה לי בסופו של דבר להגיש את התביעה בלב שלם.</w:t>
      </w:r>
    </w:p>
    <w:p>
      <w:pPr>
        <w:bidi/>
        <w:spacing w:after="120" w:line="360" w:lineRule="auto"/>
        <w:jc w:val="both"/>
      </w:pPr>
      <w:r>
        <w:rPr>
          <w:rFonts w:ascii="Times New Roman" w:cs="David" w:eastAsia="David" w:hAnsi="Times New Roman"/>
          <w:b w:val="false"/>
          <w:i w:val="false"/>
          <w:sz w:val="24"/>
          <w:szCs w:val="24"/>
          <w:rtl/>
        </w:rPr>
        <w:t xml:space="preserve">המציאות הייתה מורכבת מהדימוי. עורך הדין שליווה אותי היה מקצועי ומסור, אבל עומס התיקים שלו היה גלוי לעין: פגישות קצרות, תשובות באיחור, ותחושה מתמדת שהתיק שלי הוא אחד מתוך ערימה. דווקא כאן התחדד עבורי ההבדל שבין קיומה של זכות הגישה לערכאות (רבין, 1998) לבין מימושה בפועל: המדינה אכן העמידה לי ייצוג, והוא זה שאפשר את התביעה מלכתחילה, אבל הנגישות לצדק הגיעה במנות מדודות. כפי שמציעה סנדפור (Sandefur, 2019), המכשול המרכזי לא היה היעדר עורך דין אלא המערכת עצמה, שבנויה כך שהשחקן החד פעמי מרגיש בה אורח לא קרוא.</w:t>
      </w:r>
    </w:p>
    <w:p>
      <w:pPr>
        <w:bidi/>
        <w:spacing w:after="120" w:line="360" w:lineRule="auto"/>
        <w:jc w:val="both"/>
      </w:pPr>
      <w:r>
        <w:rPr>
          <w:rFonts w:ascii="Times New Roman" w:cs="David" w:eastAsia="David" w:hAnsi="Times New Roman"/>
          <w:b w:val="false"/>
          <w:i w:val="false"/>
          <w:sz w:val="24"/>
          <w:szCs w:val="24"/>
          <w:rtl/>
        </w:rPr>
        <w:t xml:space="preserve">גם הדיון הראשון עצמו לא דמה לתמונה שהבאתי איתי. חיפשתי בלי משים את הדרמה: את הנאום, את ההתנגדות, את הרגע שבו האמת מתפוצצת באולם. במקום זה מצאתי שיחה טכנית על מועדים, מסמכים שחסרים ותאריך חדש, רחוק להדאיג. שרווין (Sherwin, 2000) צודק יותר משחשבתי: הציפיות מהמסך באמת נכנסות איתך לאולם, הן פשוט מתנפצות שם בשקט, בלי שאף אחד מלבדך שם לב.</w:t>
      </w:r>
    </w:p>
    <w:p>
      <w:pPr>
        <w:bidi/>
        <w:spacing w:after="120" w:line="360" w:lineRule="auto"/>
        <w:jc w:val="start"/>
      </w:pPr>
      <w:r>
        <w:rPr>
          <w:rFonts w:ascii="Times New Roman" w:cs="David" w:eastAsia="David" w:hAnsi="Times New Roman"/>
          <w:b/>
          <w:bCs/>
          <w:i w:val="false"/>
          <w:sz w:val="24"/>
          <w:szCs w:val="24"/>
          <w:u w:val="single"/>
          <w:rtl/>
        </w:rPr>
        <w:t xml:space="preserve">שנתיים וחצי בלימבו</w:t>
      </w:r>
    </w:p>
    <w:p>
      <w:pPr>
        <w:bidi/>
        <w:spacing w:after="120" w:line="360" w:lineRule="auto"/>
        <w:jc w:val="both"/>
      </w:pPr>
      <w:r>
        <w:rPr>
          <w:rFonts w:ascii="Times New Roman" w:cs="David" w:eastAsia="David" w:hAnsi="Times New Roman"/>
          <w:b w:val="false"/>
          <w:i w:val="false"/>
          <w:sz w:val="24"/>
          <w:szCs w:val="24"/>
          <w:rtl/>
        </w:rPr>
        <w:t xml:space="preserve">ההליך נמשך שנתיים וחצי. אני כותבת את המספר הזה בקלות, אבל לחיות אותו היה דבר אחר לגמרי: דיונים שנדחו, חודשים של שקט מהתיק, ובכל פעם שנדרשתי לתצהיר או לדיון, חזרתי לחיות מחדש את הפגיעה שניסיתי להשאיר מאחור. קראתי לזה בזמנו "לימבו": לא אפשר היה לסגור את הפרק, ולא אפשר היה להתקדם. זו בדיוק החוויה שפילי (Feeley, 1979) מכנה "ההליך הוא העונש", שבה עצם ההמתנה, אי הוודאות והשחיקה הם מחיר שמשלמים בלי קשר לתוצאה.</w:t>
      </w:r>
    </w:p>
    <w:p>
      <w:pPr>
        <w:bidi/>
        <w:spacing w:after="120" w:line="360" w:lineRule="auto"/>
        <w:jc w:val="both"/>
      </w:pPr>
      <w:r>
        <w:rPr>
          <w:rFonts w:ascii="Times New Roman" w:cs="David" w:eastAsia="David" w:hAnsi="Times New Roman"/>
          <w:b w:val="false"/>
          <w:i w:val="false"/>
          <w:sz w:val="24"/>
          <w:szCs w:val="24"/>
          <w:rtl/>
        </w:rPr>
        <w:t xml:space="preserve">הפער מהמסך היה כמעט אירוני. גדלתי על סדרות שבהן תיק נפתח ונסגר בתוך פרק (Friedman, 1989), ובזמן שהתיק שלי זחל, המשכתי לצפות בהן בערבים. אבל הזמן לא היה רק חוויה רגשית, הוא היה גם יחסי כוח. למעסיק, שחקן חוזר עם עסק פעיל ויועצים קבועים, לא בער כלום; כל דחייה שיחקה לטובתו, בתקווה שאתעייף או אתפשר בזול (Galanter, 1974). מבחינתי, כל חודש נוסף היה עוד תקופה של הכנסה חסרה ושל פצע פתוח. ההמתנה הייתה, בפועל, כלי הלחימה השקט שלו.</w:t>
      </w:r>
    </w:p>
    <w:p>
      <w:pPr>
        <w:bidi/>
        <w:spacing w:after="120" w:line="360" w:lineRule="auto"/>
        <w:jc w:val="both"/>
      </w:pPr>
      <w:r>
        <w:rPr>
          <w:rFonts w:ascii="Times New Roman" w:cs="David" w:eastAsia="David" w:hAnsi="Times New Roman"/>
          <w:b w:val="false"/>
          <w:i w:val="false"/>
          <w:sz w:val="24"/>
          <w:szCs w:val="24"/>
          <w:rtl/>
        </w:rPr>
        <w:t xml:space="preserve">בשלב מסוים הגיעו גם הצעות פשרה, נמוכות בהרבה מהסכום שנתבע. היום אני מזהה את התזמון שלהן: הן צצו בדיוק בנקודות השפל, אחרי דחייה או לפני דיון שנקבע לעוד חצי שנה. הזמן עשה בשבילן את העבודה (Galanter, 1974). לא נשברתי, אבל אני יודעת בדיוק למה יכולתי להרשות לעצמי לא להישבר: הייצוג לא עלה לי כסף. אילו שילמתי לעורך דין פרטי לפי שעה, הסחבת הייתה מוחקת את הכדאיות של התביעה הרבה לפני פסק הדין.</w:t>
      </w:r>
    </w:p>
    <w:p>
      <w:pPr>
        <w:bidi/>
        <w:spacing w:after="120" w:line="360" w:lineRule="auto"/>
        <w:jc w:val="start"/>
      </w:pPr>
      <w:r>
        <w:rPr>
          <w:rFonts w:ascii="Times New Roman" w:cs="David" w:eastAsia="David" w:hAnsi="Times New Roman"/>
          <w:b/>
          <w:bCs/>
          <w:i w:val="false"/>
          <w:sz w:val="24"/>
          <w:szCs w:val="24"/>
          <w:u w:val="single"/>
          <w:rtl/>
        </w:rPr>
        <w:t xml:space="preserve">פסק הדין שנשאר על הנייר</w:t>
      </w:r>
    </w:p>
    <w:p>
      <w:pPr>
        <w:bidi/>
        <w:spacing w:after="120" w:line="360" w:lineRule="auto"/>
        <w:jc w:val="both"/>
      </w:pPr>
      <w:r>
        <w:rPr>
          <w:rFonts w:ascii="Times New Roman" w:cs="David" w:eastAsia="David" w:hAnsi="Times New Roman"/>
          <w:b w:val="false"/>
          <w:i w:val="false"/>
          <w:sz w:val="24"/>
          <w:szCs w:val="24"/>
          <w:rtl/>
        </w:rPr>
        <w:t xml:space="preserve">ואז ניצחתי. פסק הדין קבע שהמעסיק פגע בזכויותיי וחייב אותו בתשלום. ציפיתי לרגע הקתרזיס שהכרתי מהמסך, אבל מה שקיבלתי היה שקט. המעסיק פשוט לא שילם. לא ערער, לא התווכח, פשוט התעלם. בשבועות האלה הבנתי בגופי את ההבחנה של פאונד (Pound, 1910): החזקתי ביד חוק שבספרים, מסמך רשמי שמכריז על צדק, בזמן שהחוק שבפעולה נשאר אצל מי שהכסף בידיו. הניצחון המשפטי לא הזיז לאגו שלו דבר.</w:t>
      </w:r>
    </w:p>
    <w:p>
      <w:pPr>
        <w:bidi/>
        <w:spacing w:after="120" w:line="360" w:lineRule="auto"/>
        <w:jc w:val="both"/>
      </w:pPr>
      <w:r>
        <w:rPr>
          <w:rFonts w:ascii="Times New Roman" w:cs="David" w:eastAsia="David" w:hAnsi="Times New Roman"/>
          <w:b w:val="false"/>
          <w:i w:val="false"/>
          <w:sz w:val="24"/>
          <w:szCs w:val="24"/>
          <w:rtl/>
        </w:rPr>
        <w:t xml:space="preserve">בשבועות הראשונים עוד שיחקתי לפי הכללים שהכרתי. שלחתי תזכורת מנומסת, חיכיתי, שלחתי עוד אחת. הנימוס הזה לא היה טקטיקה, הוא היה תפיסת עולם: האמנתי שמול מסמך רשמי של בית הדין אף אחד לא באמת יכול לעמוד, ושעוד מכתב אדיב יזכיר לו את זה. במונחים של תודעה משפטית, עמדתי עדיין "לפני החוק", מלאת יראה כלפי כוחו המדומיין (Ewick &amp; Silbey, 1998). כל שבוע שעבר בשתיקה כרסם באמונה הזאת עוד קצת.</w:t>
      </w:r>
    </w:p>
    <w:p>
      <w:pPr>
        <w:bidi/>
        <w:spacing w:after="120" w:line="360" w:lineRule="auto"/>
        <w:jc w:val="both"/>
      </w:pPr>
      <w:r>
        <w:rPr>
          <w:rFonts w:ascii="Times New Roman" w:cs="David" w:eastAsia="David" w:hAnsi="Times New Roman"/>
          <w:b w:val="false"/>
          <w:i w:val="false"/>
          <w:sz w:val="24"/>
          <w:szCs w:val="24"/>
          <w:rtl/>
        </w:rPr>
        <w:t xml:space="preserve">מה ששבר את הקיפאון לא היה עוד מכתב מנומס. יום אחד הפסקתי להיות הילדה המנומסת של ההליך, התקשרתי והודעתי באופן חד משמעי: אני פותחת תיק בהוצאה לפועל, ומטילה עיקולים. הכסף הועבר כמעט מיד. במונחיהן של איוויק וסילבי (Ewick &amp; Silbey, 1998), עברתי בשיחה אחת מעמידה "לפני החוק", מתוך אמון שפסק דין אוכף את עצמו, לפעולה "עם החוק" ואף "נגדו", שימוש בכלי האכיפה כאיום כוחני ישיר. האיום פעל בדיוק במנגנון שמתאר סקיל (Skeel, 2001): הוא דיבר אל הכיס ואל המוניטין, השפה היחידה שבעל הכוח הבין.</w:t>
      </w:r>
    </w:p>
    <w:p>
      <w:pPr>
        <w:bidi/>
        <w:spacing w:after="120" w:line="360" w:lineRule="auto"/>
        <w:jc w:val="both"/>
      </w:pPr>
      <w:r>
        <w:rPr>
          <w:rFonts w:ascii="Times New Roman" w:cs="David" w:eastAsia="David" w:hAnsi="Times New Roman"/>
          <w:b w:val="false"/>
          <w:i w:val="false"/>
          <w:sz w:val="24"/>
          <w:szCs w:val="24"/>
          <w:rtl/>
        </w:rPr>
        <w:t xml:space="preserve">רק בדיעבד זיהיתי עד כמה הרגע הזה מקביל לתופעת ברק כהן. כמו הפעילים בסרט "משפט הבנקאים" (לילטי, 2022), גיליתי שההליך הפורמלי לבדו הוא הבטחה לא ממומשת, ושכדי לגבות את מה שנפסק צריך לעבור לשפת כוח ישירה. ההבדל הוא בקנה המידה בלבד: הם שרו "באנו חושך לגרש" מול בתיהם של בנקאים, ואני איימתי בעיקול על מעסיק אחד. המבנה זהה, פסק הדין הוא רק פתיחה למשא ומתן של כוח.</w:t>
      </w:r>
    </w:p>
    <w:p>
      <w:pPr>
        <w:bidi/>
        <w:spacing w:after="120" w:line="360" w:lineRule="auto"/>
        <w:jc w:val="both"/>
      </w:pPr>
      <w:r>
        <w:rPr>
          <w:rFonts w:ascii="Times New Roman" w:cs="David" w:eastAsia="David" w:hAnsi="Times New Roman"/>
          <w:b w:val="false"/>
          <w:i w:val="false"/>
          <w:sz w:val="24"/>
          <w:szCs w:val="24"/>
          <w:rtl/>
        </w:rPr>
        <w:t xml:space="preserve">הרגע שאחרי ההעברה הבנקאית היה שקט באופן מפתיע. לא הרגשתי קתרזיס. הרגשתי בעיקר עייפות, וגם משהו חדש: ידע. נכנסתי להליך כשאני מאמינה שבית המשפט הוא מקום שבו חלשים מקבלים הגנה, ויצאתי ממנו כשאני יודעת שהגנה היא דבר שצריך לדעת לקחת. ההשכלה המשפטית האמיתית שלי לא נרכשה באולם, היא נרכשה בשבועות שבין פסק הדין לתשלום.</w:t>
      </w:r>
    </w:p>
    <w:p>
      <w:pPr>
        <w:pageBreakBefore/>
        <w:bidi/>
        <w:spacing w:after="240" w:line="360" w:lineRule="auto"/>
        <w:jc w:val="start"/>
      </w:pPr>
      <w:r>
        <w:rPr>
          <w:rFonts w:ascii="Times New Roman" w:cs="David" w:eastAsia="David" w:hAnsi="Times New Roman"/>
          <w:b/>
          <w:bCs/>
          <w:i w:val="false"/>
          <w:sz w:val="32"/>
          <w:szCs w:val="32"/>
          <w:rtl/>
        </w:rPr>
        <w:t xml:space="preserve">דיון ומסקנות</w:t>
      </w:r>
    </w:p>
    <w:p>
      <w:pPr>
        <w:bidi/>
        <w:spacing w:after="120" w:line="360" w:lineRule="auto"/>
        <w:jc w:val="both"/>
      </w:pPr>
      <w:r>
        <w:rPr>
          <w:rFonts w:ascii="Times New Roman" w:cs="David" w:eastAsia="David" w:hAnsi="Times New Roman"/>
          <w:b w:val="false"/>
          <w:i w:val="false"/>
          <w:sz w:val="24"/>
          <w:szCs w:val="24"/>
          <w:rtl/>
        </w:rPr>
        <w:t xml:space="preserve">שאלת המחקר ביקשה לבחון כיצד משתקף הפער בין הבניית "עשיית הצדק" בתרבות הפופולרית לבין מציאות הגבייה ויחסי הכוח בתביעות עבודה. הממצאים מצביעים על כך שהפער מתגלה בשלושה צירים מובחנים אך שלובים. בציר הייצוג, הדימוי התרבותי של עורך הדין הציבורי כברירת מחדל נחותה (Asimow &amp; Mader, 2013) עיצב את חוויית הכניסה להליך, אף שהייצוג הציבורי הוא שאפשר את מימוש זכות הגישה לערכאות (רבין, 1998). בציר הזמן, לוח הזמנים הבדיוני של פרק טלוויזיה (Friedman, 1989) התנפץ אל מול שנתיים וחצי של סחבת, שפעלה כמשאב כוח בידי הצד החזק (Galanter, 1974; Feeley, 1979). בציר הגבייה, רגע הקתרזיס שהמסך מעמיד בסוף המשפט התגלה כאשליה: פסק הדין נותר חוק שבספרים (Pound, 1910) עד שהומר לשפת כוח ישירה.</w:t>
      </w:r>
    </w:p>
    <w:p>
      <w:pPr>
        <w:bidi/>
        <w:spacing w:after="120" w:line="360" w:lineRule="auto"/>
        <w:jc w:val="both"/>
      </w:pPr>
      <w:r>
        <w:rPr>
          <w:rFonts w:ascii="Times New Roman" w:cs="David" w:eastAsia="David" w:hAnsi="Times New Roman"/>
          <w:b w:val="false"/>
          <w:i w:val="false"/>
          <w:sz w:val="24"/>
          <w:szCs w:val="24"/>
          <w:rtl/>
        </w:rPr>
        <w:t xml:space="preserve">המסקנה המרכזית היא שהתרבות הפופולרית אינה סתם מייפה את המשפט, היא חותכת את הסיפור בנקודה הלא נכונה. הדרמה המשפטית מסתיימת בהכרעה, ואילו במציאות של תביעות עבודה ההכרעה היא תחנת ביניים, שאחריה מתחיל השלב שבו יחסי הכוח גלויים מתמיד. מה שהמסך משמיט, ההמתנה והגבייה, הוא בדיוק המרחב שבו העובד החלש נדרש למשאבים שאין לו: זמן, עצבים ויכולת להפעיל לחץ. בהיעדר ייצוג תרבותי לשלב הזה, התובע מגיע אליו לא מוכן, וחווה את הפער לא כידע אלא כמשבר אישי.</w:t>
      </w:r>
    </w:p>
    <w:p>
      <w:pPr>
        <w:bidi/>
        <w:spacing w:after="120" w:line="360" w:lineRule="auto"/>
        <w:jc w:val="both"/>
      </w:pPr>
      <w:r>
        <w:rPr>
          <w:rFonts w:ascii="Times New Roman" w:cs="David" w:eastAsia="David" w:hAnsi="Times New Roman"/>
          <w:b w:val="false"/>
          <w:i w:val="false"/>
          <w:sz w:val="24"/>
          <w:szCs w:val="24"/>
          <w:rtl/>
        </w:rPr>
        <w:t xml:space="preserve">על רקע זה מתבררת חשיבותה של תרבות הנגד. סרט כמו "משפט הבנקאים" (לילטי, 2022) עושה בדיוק את מה שהדרמה הקלאסית נמנעת ממנו: הוא פותח את המצלמה אחרי פסק הדין, בשלב האכיפה, ומראה ששם נדרשת שפה אחרת, של מוניטין, בושה ולחץ ישיר (Skeel, 2001). המקרה האישי שלי משחזר את התבנית הזאת בזעיר אנפין, ומאשש את טענתן של איוויק וסילבי (Ewick &amp; Silbey, 1998) שהתודעה המשפטית אינה עמדה קבועה אלא מסלול: ההליך עצמו חינך אותי לצאת מעמדת האמון ולעבור לעמדת הכוח.</w:t>
      </w:r>
    </w:p>
    <w:p>
      <w:pPr>
        <w:bidi/>
        <w:spacing w:after="120" w:line="360" w:lineRule="auto"/>
        <w:jc w:val="both"/>
      </w:pPr>
      <w:r>
        <w:rPr>
          <w:rFonts w:ascii="Times New Roman" w:cs="David" w:eastAsia="David" w:hAnsi="Times New Roman"/>
          <w:b w:val="false"/>
          <w:i w:val="false"/>
          <w:sz w:val="24"/>
          <w:szCs w:val="24"/>
          <w:rtl/>
        </w:rPr>
        <w:t xml:space="preserve">יש לסייג: מדובר במקרה בוחן יחיד, והמעסיק שלי שילם לבסוף בלי שנדרש הליך הוצאה לפועל בפועל. ייתכן שמקרים אחרים מסתיימים אחרת. ובכל זאת, דווקא ההתאמה הגבוהה בין החוויה הפרטית לתיאוריה, שנכתבה בהקשרים אחרים לגמרי, מלמדת שהמבנה שזוהה כאן אינו פרטי כלל.</w:t>
      </w:r>
    </w:p>
    <w:p>
      <w:pPr>
        <w:pageBreakBefore/>
        <w:bidi/>
        <w:spacing w:after="240" w:line="360" w:lineRule="auto"/>
        <w:jc w:val="start"/>
      </w:pPr>
      <w:r>
        <w:rPr>
          <w:rFonts w:ascii="Times New Roman" w:cs="David" w:eastAsia="David" w:hAnsi="Times New Roman"/>
          <w:b/>
          <w:bCs/>
          <w:i w:val="false"/>
          <w:sz w:val="32"/>
          <w:szCs w:val="32"/>
          <w:rtl/>
        </w:rPr>
        <w:t xml:space="preserve">סיכום</w:t>
      </w:r>
    </w:p>
    <w:p>
      <w:pPr>
        <w:bidi/>
        <w:spacing w:after="120" w:line="360" w:lineRule="auto"/>
        <w:jc w:val="both"/>
      </w:pPr>
      <w:r>
        <w:rPr>
          <w:rFonts w:ascii="Times New Roman" w:cs="David" w:eastAsia="David" w:hAnsi="Times New Roman"/>
          <w:b w:val="false"/>
          <w:i w:val="false"/>
          <w:sz w:val="24"/>
          <w:szCs w:val="24"/>
          <w:rtl/>
        </w:rPr>
        <w:t xml:space="preserve">העבודה יצאה מסיפור אחד, תביעת עבודה של עובדת צעירה נגד מעסיק שפגע בזכויותיה, ושאלה באמצעותו כיצד משתקף הפער בין הבניית "עשיית הצדק" בתרבות הפופולרית לבין מציאות הגבייה ויחסי הכוח בתביעות עבודה. סקירת הספרות העמידה שלוש עדשות: הדימוי התרבותי של הייצוג מטעם המדינה מול המציאות של נגישות לצדק, ההבחנה בין החוק שבספרים לחוק שבפעולה שתופעת ברק כהן העמידה במרכז השיח הישראלי, והזמן המשפטי כזירת כוח. הניתוח האוטואתנוגרפי הראה שהמקרה האישי נע לאורך שלושת הצירים במדויק: כניסה להליך דרך דימוי הייצוג הציבורי, שנתיים וחצי של סחבת ששירתה את הצד החזק, ופסק דין שמומש רק לאחר איום בהוצאה לפועל ובעיקולים.</w:t>
      </w:r>
    </w:p>
    <w:p>
      <w:pPr>
        <w:bidi/>
        <w:spacing w:after="120" w:line="360" w:lineRule="auto"/>
        <w:jc w:val="both"/>
      </w:pPr>
      <w:r>
        <w:rPr>
          <w:rFonts w:ascii="Times New Roman" w:cs="David" w:eastAsia="David" w:hAnsi="Times New Roman"/>
          <w:b w:val="false"/>
          <w:i w:val="false"/>
          <w:sz w:val="24"/>
          <w:szCs w:val="24"/>
          <w:rtl/>
        </w:rPr>
        <w:t xml:space="preserve">התשובה לשאלת המחקר היא שהפער אינו קוסמטי אלא מבני: התרבות הפופולרית מציגה את הצדק כאירוע, ואילו במציאות הוא תהליך שנמשך גם אחרי ההכרעה, ובשלביו האחרונים דווקא מתעצמים יחסי הכוח. מי שציפיותיו עוצבו על ידי המסך פוגש את הפער הזה בנקודת השבר הרגישה ביותר, אחרי ה"ניצחון".</w:t>
      </w:r>
    </w:p>
    <w:p>
      <w:pPr>
        <w:bidi/>
        <w:spacing w:after="120" w:line="360" w:lineRule="auto"/>
        <w:jc w:val="both"/>
      </w:pPr>
      <w:r>
        <w:rPr>
          <w:rFonts w:ascii="Times New Roman" w:cs="David" w:eastAsia="David" w:hAnsi="Times New Roman"/>
          <w:b w:val="false"/>
          <w:i w:val="false"/>
          <w:sz w:val="24"/>
          <w:szCs w:val="24"/>
          <w:rtl/>
        </w:rPr>
        <w:t xml:space="preserve">מן המסקנות נגזרות שלוש המלצות מעשיות. ראשית, ראוי שגופי הסיוע המשפטי ובתי הדין לעבודה ילוו כל פסק דין כספי בדף מידע פשוט על שלב הגבייה, על הוצאה לפועל ועל עיקולים, כך שהזוכה לא יגלה את קיומו של השלב הזה לבד. שנית, מוצע להרחיב את סמכות הייצוג הציבורי כך שתכלול גם את שלב הגבייה, שכן ייצוג שמסתיים בפסק הדין עוצר צעד אחד לפני הצדק. שלישית, במסגרות חינוך והכשרה של עובדים צעירים כדאי לשלב אוריינות משפטית ותקשורתית, שתלמד לקרוא באופן ביקורתי את ייצוגי המשפט על המסך. צעדים אלה לא יבטלו את פערי הכוח, אבל הם עשויים לצמצם את מחירו של המפגש הראשון איתם.</w:t>
      </w:r>
    </w:p>
    <w:p>
      <w:pPr>
        <w:pageBreakBefore/>
        <w:bidi/>
        <w:spacing w:after="240" w:line="360" w:lineRule="auto"/>
        <w:jc w:val="start"/>
      </w:pPr>
      <w:r>
        <w:rPr>
          <w:rFonts w:ascii="Times New Roman" w:cs="David" w:eastAsia="David" w:hAnsi="Times New Roman"/>
          <w:b/>
          <w:bCs/>
          <w:i w:val="false"/>
          <w:sz w:val="32"/>
          <w:szCs w:val="32"/>
          <w:rtl/>
        </w:rPr>
        <w:t xml:space="preserve">רשימת מקורות ופילמוגרפיה</w:t>
      </w:r>
    </w:p>
    <w:p>
      <w:pPr>
        <w:bidi/>
        <w:spacing w:after="120" w:line="360" w:lineRule="auto"/>
        <w:jc w:val="start"/>
      </w:pPr>
      <w:r>
        <w:rPr>
          <w:rFonts w:ascii="Times New Roman" w:cs="David" w:eastAsia="David" w:hAnsi="Times New Roman"/>
          <w:b/>
          <w:bCs/>
          <w:i w:val="false"/>
          <w:sz w:val="24"/>
          <w:szCs w:val="24"/>
          <w:u w:val="single"/>
          <w:rtl/>
        </w:rPr>
        <w:t xml:space="preserve">רשימת מקורות</w:t>
      </w:r>
    </w:p>
    <w:p>
      <w:pPr>
        <w:bidi/>
        <w:spacing w:after="180" w:line="360" w:lineRule="auto"/>
        <w:ind w:left="709" w:hanging="709"/>
        <w:jc w:val="start"/>
      </w:pPr>
      <w:r>
        <w:rPr>
          <w:rFonts w:ascii="Times New Roman" w:cs="David" w:eastAsia="David" w:hAnsi="Times New Roman"/>
          <w:b w:val="false"/>
          <w:i w:val="false"/>
          <w:sz w:val="24"/>
          <w:szCs w:val="24"/>
          <w:rtl/>
        </w:rPr>
        <w:t xml:space="preserve">מאוטנר, מ' (2008). </w:t>
      </w:r>
      <w:r>
        <w:rPr>
          <w:rFonts w:ascii="Times New Roman" w:cs="David" w:eastAsia="David" w:hAnsi="Times New Roman"/>
          <w:b w:val="false"/>
          <w:i/>
          <w:iCs/>
          <w:sz w:val="24"/>
          <w:szCs w:val="24"/>
          <w:rtl/>
        </w:rPr>
        <w:t xml:space="preserve">משפט ותרבות בישראל בפתח המאה העשרים ואחת</w:t>
      </w:r>
      <w:r>
        <w:rPr>
          <w:rFonts w:ascii="Times New Roman" w:cs="David" w:eastAsia="David" w:hAnsi="Times New Roman"/>
          <w:b w:val="false"/>
          <w:i w:val="false"/>
          <w:sz w:val="24"/>
          <w:szCs w:val="24"/>
          <w:rtl/>
        </w:rPr>
        <w:t xml:space="preserve">. עם עובד.</w:t>
      </w:r>
    </w:p>
    <w:p>
      <w:pPr>
        <w:bidi/>
        <w:spacing w:after="180" w:line="360" w:lineRule="auto"/>
        <w:ind w:left="709" w:hanging="709"/>
        <w:jc w:val="start"/>
      </w:pPr>
      <w:r>
        <w:rPr>
          <w:rFonts w:ascii="Times New Roman" w:cs="David" w:eastAsia="David" w:hAnsi="Times New Roman"/>
          <w:b w:val="false"/>
          <w:i w:val="false"/>
          <w:sz w:val="24"/>
          <w:szCs w:val="24"/>
          <w:rtl/>
        </w:rPr>
        <w:t xml:space="preserve">רבין, י' (1998). </w:t>
      </w:r>
      <w:r>
        <w:rPr>
          <w:rFonts w:ascii="Times New Roman" w:cs="David" w:eastAsia="David" w:hAnsi="Times New Roman"/>
          <w:b w:val="false"/>
          <w:i/>
          <w:iCs/>
          <w:sz w:val="24"/>
          <w:szCs w:val="24"/>
          <w:rtl/>
        </w:rPr>
        <w:t xml:space="preserve">זכות הגישה לערכאות כזכות חוקתית</w:t>
      </w:r>
      <w:r>
        <w:rPr>
          <w:rFonts w:ascii="Times New Roman" w:cs="David" w:eastAsia="David" w:hAnsi="Times New Roman"/>
          <w:b w:val="false"/>
          <w:i w:val="false"/>
          <w:sz w:val="24"/>
          <w:szCs w:val="24"/>
          <w:rtl/>
        </w:rPr>
        <w:t xml:space="preserve">. בורסי.</w:t>
      </w:r>
    </w:p>
    <w:p>
      <w:pPr>
        <w:bidi/>
        <w:spacing w:after="180" w:line="360" w:lineRule="auto"/>
        <w:ind w:left="709" w:hanging="709"/>
        <w:jc w:val="start"/>
      </w:pPr>
      <w:r>
        <w:rPr>
          <w:rFonts w:ascii="Times New Roman" w:cs="David" w:eastAsia="David" w:hAnsi="Times New Roman"/>
          <w:b w:val="false"/>
          <w:i w:val="false"/>
          <w:sz w:val="24"/>
          <w:szCs w:val="24"/>
          <w:rtl/>
        </w:rPr>
        <w:t xml:space="preserve">שלסקי, ש', ואלפרט, ב' (2007). </w:t>
      </w:r>
      <w:r>
        <w:rPr>
          <w:rFonts w:ascii="Times New Roman" w:cs="David" w:eastAsia="David" w:hAnsi="Times New Roman"/>
          <w:b w:val="false"/>
          <w:i/>
          <w:iCs/>
          <w:sz w:val="24"/>
          <w:szCs w:val="24"/>
          <w:rtl/>
        </w:rPr>
        <w:t xml:space="preserve">דרכים בכתיבת מחקר איכותי: מפירוק המציאות להבנייתה כטקסט</w:t>
      </w:r>
      <w:r>
        <w:rPr>
          <w:rFonts w:ascii="Times New Roman" w:cs="David" w:eastAsia="David" w:hAnsi="Times New Roman"/>
          <w:b w:val="false"/>
          <w:i w:val="false"/>
          <w:sz w:val="24"/>
          <w:szCs w:val="24"/>
          <w:rtl/>
        </w:rPr>
        <w:t xml:space="preserve">. מכון מופ"ת.</w:t>
      </w:r>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Asimow, M., &amp; Mader, S. (2013). </w:t>
      </w:r>
      <w:r>
        <w:rPr>
          <w:rFonts w:ascii="Times New Roman" w:cs="Times New Roman" w:eastAsia="Times New Roman" w:hAnsi="Times New Roman"/>
          <w:b w:val="false"/>
          <w:i/>
          <w:iCs/>
          <w:sz w:val="24"/>
          <w:szCs w:val="24"/>
          <w:rtl w:val="false"/>
        </w:rPr>
        <w:t xml:space="preserve">Law and popular culture: A course book</w:t>
      </w:r>
      <w:r>
        <w:rPr>
          <w:rFonts w:ascii="Times New Roman" w:cs="Times New Roman" w:eastAsia="Times New Roman" w:hAnsi="Times New Roman"/>
          <w:b w:val="false"/>
          <w:i w:val="false"/>
          <w:sz w:val="24"/>
          <w:szCs w:val="24"/>
          <w:rtl w:val="false"/>
        </w:rPr>
        <w:t xml:space="preserve"> (2nd ed.). Peter Lang.</w:t>
      </w:r>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Ellis, C., Adams, T. E., &amp; Bochner, A. P. (2011). Autoethnography: An overview. </w:t>
      </w:r>
      <w:r>
        <w:rPr>
          <w:rFonts w:ascii="Times New Roman" w:cs="Times New Roman" w:eastAsia="Times New Roman" w:hAnsi="Times New Roman"/>
          <w:b w:val="false"/>
          <w:i/>
          <w:iCs/>
          <w:sz w:val="24"/>
          <w:szCs w:val="24"/>
          <w:rtl w:val="false"/>
        </w:rPr>
        <w:t xml:space="preserve">Forum: Qualitative Social Research, 12</w:t>
      </w:r>
      <w:r>
        <w:rPr>
          <w:rFonts w:ascii="Times New Roman" w:cs="Times New Roman" w:eastAsia="Times New Roman" w:hAnsi="Times New Roman"/>
          <w:b w:val="false"/>
          <w:i w:val="false"/>
          <w:sz w:val="24"/>
          <w:szCs w:val="24"/>
          <w:rtl w:val="false"/>
        </w:rPr>
        <w:t xml:space="preserve">(1), Article 10.</w:t>
      </w:r>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Ewick, P., &amp; Silbey, S. S. (1998). </w:t>
      </w:r>
      <w:r>
        <w:rPr>
          <w:rFonts w:ascii="Times New Roman" w:cs="Times New Roman" w:eastAsia="Times New Roman" w:hAnsi="Times New Roman"/>
          <w:b w:val="false"/>
          <w:i/>
          <w:iCs/>
          <w:sz w:val="24"/>
          <w:szCs w:val="24"/>
          <w:rtl w:val="false"/>
        </w:rPr>
        <w:t xml:space="preserve">The common place of law: Stories from everyday life</w:t>
      </w:r>
      <w:r>
        <w:rPr>
          <w:rFonts w:ascii="Times New Roman" w:cs="Times New Roman" w:eastAsia="Times New Roman" w:hAnsi="Times New Roman"/>
          <w:b w:val="false"/>
          <w:i w:val="false"/>
          <w:sz w:val="24"/>
          <w:szCs w:val="24"/>
          <w:rtl w:val="false"/>
        </w:rPr>
        <w:t xml:space="preserve">. University of Chicago Press.</w:t>
      </w:r>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Feeley, M. M. (1979). </w:t>
      </w:r>
      <w:r>
        <w:rPr>
          <w:rFonts w:ascii="Times New Roman" w:cs="Times New Roman" w:eastAsia="Times New Roman" w:hAnsi="Times New Roman"/>
          <w:b w:val="false"/>
          <w:i/>
          <w:iCs/>
          <w:sz w:val="24"/>
          <w:szCs w:val="24"/>
          <w:rtl w:val="false"/>
        </w:rPr>
        <w:t xml:space="preserve">The process is the punishment: Handling cases in a lower criminal court</w:t>
      </w:r>
      <w:r>
        <w:rPr>
          <w:rFonts w:ascii="Times New Roman" w:cs="Times New Roman" w:eastAsia="Times New Roman" w:hAnsi="Times New Roman"/>
          <w:b w:val="false"/>
          <w:i w:val="false"/>
          <w:sz w:val="24"/>
          <w:szCs w:val="24"/>
          <w:rtl w:val="false"/>
        </w:rPr>
        <w:t xml:space="preserve">. Russell Sage Foundation.</w:t>
      </w:r>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Felstiner, W. L. F., Abel, R. L., &amp; Sarat, A. (1980). The emergence and transformation of disputes: Naming, blaming, claiming. </w:t>
      </w:r>
      <w:r>
        <w:rPr>
          <w:rFonts w:ascii="Times New Roman" w:cs="Times New Roman" w:eastAsia="Times New Roman" w:hAnsi="Times New Roman"/>
          <w:b w:val="false"/>
          <w:i/>
          <w:iCs/>
          <w:sz w:val="24"/>
          <w:szCs w:val="24"/>
          <w:rtl w:val="false"/>
        </w:rPr>
        <w:t xml:space="preserve">Law &amp; Society Review, 15</w:t>
      </w:r>
      <w:r>
        <w:rPr>
          <w:rFonts w:ascii="Times New Roman" w:cs="Times New Roman" w:eastAsia="Times New Roman" w:hAnsi="Times New Roman"/>
          <w:b w:val="false"/>
          <w:i w:val="false"/>
          <w:sz w:val="24"/>
          <w:szCs w:val="24"/>
          <w:rtl w:val="false"/>
        </w:rPr>
        <w:t xml:space="preserve">(3-4), 631-654.</w:t>
      </w:r>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Friedman, L. M. (1989). Law, lawyers, and popular culture. </w:t>
      </w:r>
      <w:r>
        <w:rPr>
          <w:rFonts w:ascii="Times New Roman" w:cs="Times New Roman" w:eastAsia="Times New Roman" w:hAnsi="Times New Roman"/>
          <w:b w:val="false"/>
          <w:i/>
          <w:iCs/>
          <w:sz w:val="24"/>
          <w:szCs w:val="24"/>
          <w:rtl w:val="false"/>
        </w:rPr>
        <w:t xml:space="preserve">Yale Law Journal, 98</w:t>
      </w:r>
      <w:r>
        <w:rPr>
          <w:rFonts w:ascii="Times New Roman" w:cs="Times New Roman" w:eastAsia="Times New Roman" w:hAnsi="Times New Roman"/>
          <w:b w:val="false"/>
          <w:i w:val="false"/>
          <w:sz w:val="24"/>
          <w:szCs w:val="24"/>
          <w:rtl w:val="false"/>
        </w:rPr>
        <w:t xml:space="preserve">(8), 1579-1606.</w:t>
      </w:r>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Galanter, M. (1974). Why the "haves" come out ahead: Speculations on the limits of legal change. </w:t>
      </w:r>
      <w:r>
        <w:rPr>
          <w:rFonts w:ascii="Times New Roman" w:cs="Times New Roman" w:eastAsia="Times New Roman" w:hAnsi="Times New Roman"/>
          <w:b w:val="false"/>
          <w:i/>
          <w:iCs/>
          <w:sz w:val="24"/>
          <w:szCs w:val="24"/>
          <w:rtl w:val="false"/>
        </w:rPr>
        <w:t xml:space="preserve">Law &amp; Society Review, 9</w:t>
      </w:r>
      <w:r>
        <w:rPr>
          <w:rFonts w:ascii="Times New Roman" w:cs="Times New Roman" w:eastAsia="Times New Roman" w:hAnsi="Times New Roman"/>
          <w:b w:val="false"/>
          <w:i w:val="false"/>
          <w:sz w:val="24"/>
          <w:szCs w:val="24"/>
          <w:rtl w:val="false"/>
        </w:rPr>
        <w:t xml:space="preserve">(1), 95-160.</w:t>
      </w:r>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Pound, R. (1910). Law in books and law in action. </w:t>
      </w:r>
      <w:r>
        <w:rPr>
          <w:rFonts w:ascii="Times New Roman" w:cs="Times New Roman" w:eastAsia="Times New Roman" w:hAnsi="Times New Roman"/>
          <w:b w:val="false"/>
          <w:i/>
          <w:iCs/>
          <w:sz w:val="24"/>
          <w:szCs w:val="24"/>
          <w:rtl w:val="false"/>
        </w:rPr>
        <w:t xml:space="preserve">American Law Review, 44</w:t>
      </w:r>
      <w:r>
        <w:rPr>
          <w:rFonts w:ascii="Times New Roman" w:cs="Times New Roman" w:eastAsia="Times New Roman" w:hAnsi="Times New Roman"/>
          <w:b w:val="false"/>
          <w:i w:val="false"/>
          <w:sz w:val="24"/>
          <w:szCs w:val="24"/>
          <w:rtl w:val="false"/>
        </w:rPr>
        <w:t xml:space="preserve">(1), 12-36.</w:t>
      </w:r>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Sandefur, R. L. (2019). Access to what? </w:t>
      </w:r>
      <w:r>
        <w:rPr>
          <w:rFonts w:ascii="Times New Roman" w:cs="Times New Roman" w:eastAsia="Times New Roman" w:hAnsi="Times New Roman"/>
          <w:b w:val="false"/>
          <w:i/>
          <w:iCs/>
          <w:sz w:val="24"/>
          <w:szCs w:val="24"/>
          <w:rtl w:val="false"/>
        </w:rPr>
        <w:t xml:space="preserve">Daedalus, 148</w:t>
      </w:r>
      <w:r>
        <w:rPr>
          <w:rFonts w:ascii="Times New Roman" w:cs="Times New Roman" w:eastAsia="Times New Roman" w:hAnsi="Times New Roman"/>
          <w:b w:val="false"/>
          <w:i w:val="false"/>
          <w:sz w:val="24"/>
          <w:szCs w:val="24"/>
          <w:rtl w:val="false"/>
        </w:rPr>
        <w:t xml:space="preserve">(1), 49-55.</w:t>
      </w:r>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Sherwin, R. K. (2000). </w:t>
      </w:r>
      <w:r>
        <w:rPr>
          <w:rFonts w:ascii="Times New Roman" w:cs="Times New Roman" w:eastAsia="Times New Roman" w:hAnsi="Times New Roman"/>
          <w:b w:val="false"/>
          <w:i/>
          <w:iCs/>
          <w:sz w:val="24"/>
          <w:szCs w:val="24"/>
          <w:rtl w:val="false"/>
        </w:rPr>
        <w:t xml:space="preserve">When law goes pop: The vanishing line between law and popular culture</w:t>
      </w:r>
      <w:r>
        <w:rPr>
          <w:rFonts w:ascii="Times New Roman" w:cs="Times New Roman" w:eastAsia="Times New Roman" w:hAnsi="Times New Roman"/>
          <w:b w:val="false"/>
          <w:i w:val="false"/>
          <w:sz w:val="24"/>
          <w:szCs w:val="24"/>
          <w:rtl w:val="false"/>
        </w:rPr>
        <w:t xml:space="preserve">. University of Chicago Press.</w:t>
      </w:r>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Skeel, D. A. (2001). Shaming in corporate law. </w:t>
      </w:r>
      <w:r>
        <w:rPr>
          <w:rFonts w:ascii="Times New Roman" w:cs="Times New Roman" w:eastAsia="Times New Roman" w:hAnsi="Times New Roman"/>
          <w:b w:val="false"/>
          <w:i/>
          <w:iCs/>
          <w:sz w:val="24"/>
          <w:szCs w:val="24"/>
          <w:rtl w:val="false"/>
        </w:rPr>
        <w:t xml:space="preserve">University of Pennsylvania Law Review, 149</w:t>
      </w:r>
      <w:r>
        <w:rPr>
          <w:rFonts w:ascii="Times New Roman" w:cs="Times New Roman" w:eastAsia="Times New Roman" w:hAnsi="Times New Roman"/>
          <w:b w:val="false"/>
          <w:i w:val="false"/>
          <w:sz w:val="24"/>
          <w:szCs w:val="24"/>
          <w:rtl w:val="false"/>
        </w:rPr>
        <w:t xml:space="preserve">(6), 1811-1868.</w:t>
      </w:r>
    </w:p>
    <w:p>
      <w:pPr>
        <w:bidi/>
        <w:spacing w:after="120" w:line="360" w:lineRule="auto"/>
        <w:jc w:val="start"/>
      </w:pPr>
      <w:r>
        <w:rPr>
          <w:rFonts w:ascii="Times New Roman" w:cs="David" w:eastAsia="David" w:hAnsi="Times New Roman"/>
          <w:b/>
          <w:bCs/>
          <w:i w:val="false"/>
          <w:sz w:val="24"/>
          <w:szCs w:val="24"/>
          <w:u w:val="single"/>
          <w:rtl/>
        </w:rPr>
        <w:t xml:space="preserve">פילמוגרפיה</w:t>
      </w:r>
    </w:p>
    <w:p>
      <w:pPr>
        <w:bidi/>
        <w:spacing w:after="180" w:line="360" w:lineRule="auto"/>
        <w:ind w:left="709" w:hanging="709"/>
        <w:jc w:val="start"/>
      </w:pPr>
      <w:r>
        <w:rPr>
          <w:rFonts w:ascii="Times New Roman" w:cs="David" w:eastAsia="David" w:hAnsi="Times New Roman"/>
          <w:b w:val="false"/>
          <w:i w:val="false"/>
          <w:sz w:val="24"/>
          <w:szCs w:val="24"/>
          <w:rtl/>
        </w:rPr>
        <w:t xml:space="preserve">לילטי, א' (במאי). (2022). </w:t>
      </w:r>
      <w:r>
        <w:rPr>
          <w:rFonts w:ascii="Times New Roman" w:cs="David" w:eastAsia="David" w:hAnsi="Times New Roman"/>
          <w:b w:val="false"/>
          <w:i/>
          <w:iCs/>
          <w:sz w:val="24"/>
          <w:szCs w:val="24"/>
          <w:rtl/>
        </w:rPr>
        <w:t xml:space="preserve">משפט הבנקאים</w:t>
      </w:r>
      <w:r>
        <w:rPr>
          <w:rFonts w:ascii="Times New Roman" w:cs="David" w:eastAsia="David" w:hAnsi="Times New Roman"/>
          <w:b w:val="false"/>
          <w:i w:val="false"/>
          <w:sz w:val="24"/>
          <w:szCs w:val="24"/>
          <w:rtl/>
        </w:rPr>
        <w:t xml:space="preserve"> [סרט תיעודי]. כאן 11, תאגיד השידור הישראלי.</w:t>
      </w:r>
    </w:p>
    <w:p>
      <w:pPr>
        <w:bidi w:val="false"/>
        <w:spacing w:after="180" w:line="360" w:lineRule="auto"/>
        <w:ind w:left="709" w:hanging="709"/>
        <w:jc w:val="left"/>
      </w:pPr>
      <w:r>
        <w:rPr>
          <w:rFonts w:ascii="Times New Roman" w:cs="Times New Roman" w:eastAsia="Times New Roman" w:hAnsi="Times New Roman"/>
          <w:b w:val="false"/>
          <w:i w:val="false"/>
          <w:sz w:val="24"/>
          <w:szCs w:val="24"/>
          <w:rtl w:val="false"/>
        </w:rPr>
        <w:t xml:space="preserve">Korsh, A. (Creator). (2011-2019). </w:t>
      </w:r>
      <w:r>
        <w:rPr>
          <w:rFonts w:ascii="Times New Roman" w:cs="Times New Roman" w:eastAsia="Times New Roman" w:hAnsi="Times New Roman"/>
          <w:b w:val="false"/>
          <w:i/>
          <w:iCs/>
          <w:sz w:val="24"/>
          <w:szCs w:val="24"/>
          <w:rtl w:val="false"/>
        </w:rPr>
        <w:t xml:space="preserve">Suits</w:t>
      </w:r>
      <w:r>
        <w:rPr>
          <w:rFonts w:ascii="Times New Roman" w:cs="Times New Roman" w:eastAsia="Times New Roman" w:hAnsi="Times New Roman"/>
          <w:b w:val="false"/>
          <w:i w:val="false"/>
          <w:sz w:val="24"/>
          <w:szCs w:val="24"/>
          <w:rtl w:val="false"/>
        </w:rPr>
        <w:t xml:space="preserve"> [TV series]. USA Network.</w:t>
      </w:r>
    </w:p>
    <w:sectPr>
      <w:headerReference w:type="default" r:id="rId7"/>
      <w:headerReference w:type="first" r:id="rId8"/>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צדק בזמן פריים־טיים: בין הבניית "עשיית הצדק" בתרבות הפופולרית לבין מציאות הגבייה בתביעת עבודה</dc:title>
  <dc:creator>הדר פוקס</dc:creator>
  <cp:lastModifiedBy>Un-named</cp:lastModifiedBy>
  <cp:revision>1</cp:revision>
  <dcterms:created xsi:type="dcterms:W3CDTF">2026-08-01T10:29:21.012Z</dcterms:created>
  <dcterms:modified xsi:type="dcterms:W3CDTF">2026-08-01T10:29:21.026Z</dcterms:modified>
</cp:coreProperties>
</file>

<file path=docProps/custom.xml><?xml version="1.0" encoding="utf-8"?>
<Properties xmlns="http://schemas.openxmlformats.org/officeDocument/2006/custom-properties" xmlns:vt="http://schemas.openxmlformats.org/officeDocument/2006/docPropsVTypes"/>
</file>