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sz w:val="26"/>
          <w:szCs w:val="26"/>
          <w:rtl/>
        </w:rPr>
        <w:t xml:space="preserve">המחלקה לגיל הרך</w:t>
      </w:r>
    </w:p>
    <w:p>
      <w:pPr>
        <w:bidi/>
        <w:spacing w:after="360" w:before="0" w:line="360" w:lineRule="auto"/>
        <w:jc w:val="center"/>
      </w:pPr>
      <w:r>
        <w:rPr>
          <w:rFonts w:ascii="Times New Roman" w:cs="David" w:eastAsia="David" w:hAnsi="Times New Roman"/>
          <w:b w:val="false"/>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sz w:val="26"/>
          <w:szCs w:val="26"/>
          <w:rtl/>
        </w:rPr>
        <w:t xml:space="preserve">מנחה: ד"ר עפר גת</w:t>
      </w:r>
    </w:p>
    <w:p>
      <w:pPr>
        <w:bidi/>
        <w:spacing w:after="120" w:before="0" w:line="360" w:lineRule="auto"/>
        <w:jc w:val="center"/>
      </w:pPr>
      <w:r>
        <w:rPr>
          <w:rFonts w:ascii="Times New Roman" w:cs="David" w:eastAsia="David" w:hAnsi="Times New Roman"/>
          <w:b w:val="false"/>
          <w:sz w:val="26"/>
          <w:szCs w:val="26"/>
          <w:rtl/>
        </w:rPr>
        <w:t xml:space="preserve">מגיש/ה: ______________</w:t>
      </w:r>
    </w:p>
    <w:p>
      <w:pPr>
        <w:bidi/>
        <w:spacing w:after="600" w:before="0" w:line="360" w:lineRule="auto"/>
        <w:jc w:val="center"/>
      </w:pPr>
      <w:r>
        <w:rPr>
          <w:rFonts w:ascii="Times New Roman" w:cs="David" w:eastAsia="David" w:hAnsi="Times New Roman"/>
          <w:b w:val="false"/>
          <w:sz w:val="26"/>
          <w:szCs w:val="26"/>
          <w:rtl/>
        </w:rPr>
        <w:t xml:space="preserve">ת"ז: ______________</w:t>
      </w:r>
    </w:p>
    <w:p>
      <w:pPr>
        <w:bidi/>
        <w:spacing w:after="0" w:before="0" w:line="360" w:lineRule="auto"/>
        <w:jc w:val="center"/>
      </w:pPr>
      <w:r>
        <w:rPr>
          <w:rFonts w:ascii="Times New Roman" w:cs="David" w:eastAsia="David" w:hAnsi="Times New Roman"/>
          <w:b w:val="false"/>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sz w:val="24"/>
          <w:szCs w:val="24"/>
          <w:rtl/>
        </w:rPr>
        <w:t xml:space="preserve">הערה: לעדכון מספרי העמודים יש ללחוץ על התוכן ולבחור "עדכן שדה".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מבוא</w:t>
      </w:r>
    </w:p>
    <w:p>
      <w:pPr>
        <w:bidi/>
        <w:spacing w:after="0" w:before="0" w:line="480" w:lineRule="auto"/>
        <w:jc w:val="both"/>
      </w:pPr>
      <w:r>
        <w:rPr>
          <w:rFonts w:ascii="Times New Roman" w:cs="David" w:eastAsia="David" w:hAnsi="Times New Roman"/>
          <w:b w:val="false"/>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סקירת ספרות</w:t>
      </w:r>
    </w:p>
    <w:p>
      <w:pPr>
        <w:bidi/>
        <w:spacing w:after="0" w:before="0" w:line="480" w:lineRule="auto"/>
        <w:jc w:val="both"/>
      </w:pPr>
      <w:r>
        <w:rPr>
          <w:rFonts w:ascii="Times New Roman" w:cs="David" w:eastAsia="David" w:hAnsi="Times New Roman"/>
          <w:b w:val="false"/>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sz w:val="26"/>
          <w:szCs w:val="26"/>
          <w:rtl/>
        </w:rPr>
        <w:t xml:space="preserve">המרחב הפיזי כסביבה חינוכית</w:t>
      </w:r>
    </w:p>
    <w:p>
      <w:pPr>
        <w:bidi/>
        <w:spacing w:after="0" w:before="0" w:line="480" w:lineRule="auto"/>
        <w:jc w:val="both"/>
      </w:pPr>
      <w:r>
        <w:rPr>
          <w:rFonts w:ascii="Times New Roman" w:cs="David" w:eastAsia="David" w:hAnsi="Times New Roman"/>
          <w:b w:val="false"/>
          <w:sz w:val="24"/>
          <w:szCs w:val="24"/>
          <w:rtl/>
        </w:rPr>
        <w:t xml:space="preserve">נקודת המוצא של העבודה היא שהמרחב הפיזי איננו רקע ניטרלי להתרחשות החינוכית אלא שותף לה. עוד בשנות השמונים הצביעו זבה וצ'רצ'מן (1988) על הפער שבין עקרונות התכנון של חצרות בתי הספר לבין עקרונות החינוך: החצר נתפסת בעיני מתכננים ומחנכים כשטח נטול ערך ייחודי, אינה זוכה לתכנון כישות עצמאית, והפוטנציאל החינוכי הגלום בה, כמקום פתוח לחינוך שאינו כפוף למבנה השיעור, נותר בלתי ממומש. ביקורת זו, שנכתבה לפני כמעט ארבעה עשורים, עודנה מהדהדת בכתיבה העכשווית.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pStyle w:val="Heading2"/>
        <w:bidi/>
        <w:spacing w:after="0" w:before="120" w:line="480" w:lineRule="auto"/>
        <w:jc w:val="start"/>
      </w:pPr>
      <w:r>
        <w:rPr>
          <w:rFonts w:ascii="Times New Roman" w:cs="David" w:eastAsia="David" w:hAnsi="Times New Roman"/>
          <w:b/>
          <w:bCs/>
          <w:sz w:val="26"/>
          <w:szCs w:val="26"/>
          <w:rtl/>
        </w:rPr>
        <w:t xml:space="preserve">חצר בית הספר וההפסקה</w:t>
      </w:r>
    </w:p>
    <w:p>
      <w:pPr>
        <w:bidi/>
        <w:spacing w:after="0" w:before="0" w:line="480" w:lineRule="auto"/>
        <w:jc w:val="both"/>
      </w:pPr>
      <w:r>
        <w:rPr>
          <w:rFonts w:ascii="Times New Roman" w:cs="David" w:eastAsia="David" w:hAnsi="Times New Roman"/>
          <w:b w:val="false"/>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pStyle w:val="Heading2"/>
        <w:bidi/>
        <w:spacing w:after="0" w:before="120" w:line="480" w:lineRule="auto"/>
        <w:jc w:val="start"/>
      </w:pPr>
      <w:r>
        <w:rPr>
          <w:rFonts w:ascii="Times New Roman" w:cs="David" w:eastAsia="David" w:hAnsi="Times New Roman"/>
          <w:b/>
          <w:bCs/>
          <w:sz w:val="26"/>
          <w:szCs w:val="26"/>
          <w:rtl/>
        </w:rPr>
        <w:t xml:space="preserve">משחק חופשי והתפתחות חברתית בגיל בית הספר היסודי</w:t>
      </w:r>
    </w:p>
    <w:p>
      <w:pPr>
        <w:bidi/>
        <w:spacing w:after="0" w:before="0" w:line="480" w:lineRule="auto"/>
        <w:jc w:val="both"/>
      </w:pPr>
      <w:r>
        <w:rPr>
          <w:rFonts w:ascii="Times New Roman" w:cs="David" w:eastAsia="David" w:hAnsi="Times New Roman"/>
          <w:b w:val="false"/>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pStyle w:val="Heading2"/>
        <w:bidi/>
        <w:spacing w:after="0" w:before="120" w:line="480" w:lineRule="auto"/>
        <w:jc w:val="start"/>
      </w:pPr>
      <w:r>
        <w:rPr>
          <w:rFonts w:ascii="Times New Roman" w:cs="David" w:eastAsia="David" w:hAnsi="Times New Roman"/>
          <w:b/>
          <w:bCs/>
          <w:sz w:val="26"/>
          <w:szCs w:val="26"/>
          <w:rtl/>
        </w:rPr>
        <w:t xml:space="preserve">תיאוריית ההזדמנויות: הסביבה כמזמנת פעולה</w:t>
      </w:r>
    </w:p>
    <w:p>
      <w:pPr>
        <w:bidi/>
        <w:spacing w:after="0" w:before="0" w:line="480" w:lineRule="auto"/>
        <w:jc w:val="both"/>
      </w:pPr>
      <w:r>
        <w:rPr>
          <w:rFonts w:ascii="Times New Roman" w:cs="David" w:eastAsia="David" w:hAnsi="Times New Roman"/>
          <w:b w:val="false"/>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וטבעיים בחצר</w:t>
      </w:r>
    </w:p>
    <w:p>
      <w:pPr>
        <w:bidi/>
        <w:spacing w:after="0" w:before="0" w:line="480" w:lineRule="auto"/>
        <w:jc w:val="both"/>
      </w:pPr>
      <w:r>
        <w:rPr>
          <w:rFonts w:ascii="Times New Roman" w:cs="David" w:eastAsia="David" w:hAnsi="Times New Roman"/>
          <w:b w:val="false"/>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w:t>
      </w:r>
    </w:p>
    <w:p>
      <w:pPr>
        <w:bidi/>
        <w:spacing w:after="0" w:before="0" w:line="480" w:lineRule="auto"/>
        <w:jc w:val="both"/>
      </w:pPr>
      <w:r>
        <w:rPr>
          <w:rFonts w:ascii="Times New Roman" w:cs="David" w:eastAsia="David" w:hAnsi="Times New Roman"/>
          <w:b w:val="false"/>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pStyle w:val="Heading2"/>
        <w:bidi/>
        <w:spacing w:after="0" w:before="120" w:line="480" w:lineRule="auto"/>
        <w:jc w:val="start"/>
      </w:pPr>
      <w:r>
        <w:rPr>
          <w:rFonts w:ascii="Times New Roman" w:cs="David" w:eastAsia="David" w:hAnsi="Times New Roman"/>
          <w:b/>
          <w:bCs/>
          <w:sz w:val="26"/>
          <w:szCs w:val="26"/>
          <w:rtl/>
        </w:rPr>
        <w:t xml:space="preserve">אינטראקציה חברתית, קונפליקט ומשא ומתן בהפסקה</w:t>
      </w:r>
    </w:p>
    <w:p>
      <w:pPr>
        <w:bidi/>
        <w:spacing w:after="0" w:before="0" w:line="480" w:lineRule="auto"/>
        <w:jc w:val="both"/>
      </w:pPr>
      <w:r>
        <w:rPr>
          <w:rFonts w:ascii="Times New Roman" w:cs="David" w:eastAsia="David" w:hAnsi="Times New Roman"/>
          <w:b w:val="false"/>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w:t>
      </w:r>
    </w:p>
    <w:p>
      <w:pPr>
        <w:bidi/>
        <w:spacing w:after="0" w:before="0" w:line="480" w:lineRule="auto"/>
        <w:jc w:val="both"/>
      </w:pPr>
      <w:r>
        <w:rPr>
          <w:rFonts w:ascii="Times New Roman" w:cs="David" w:eastAsia="David" w:hAnsi="Times New Roman"/>
          <w:b w:val="false"/>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שיטת המחקר</w:t>
      </w:r>
    </w:p>
    <w:p>
      <w:pPr>
        <w:pStyle w:val="Heading2"/>
        <w:bidi/>
        <w:spacing w:after="0" w:before="120" w:line="480" w:lineRule="auto"/>
        <w:jc w:val="start"/>
      </w:pPr>
      <w:r>
        <w:rPr>
          <w:rFonts w:ascii="Times New Roman" w:cs="David" w:eastAsia="David" w:hAnsi="Times New Roman"/>
          <w:b/>
          <w:bCs/>
          <w:sz w:val="26"/>
          <w:szCs w:val="26"/>
          <w:rtl/>
        </w:rPr>
        <w:t xml:space="preserve">הגישה המחקרית</w:t>
      </w:r>
    </w:p>
    <w:p>
      <w:pPr>
        <w:bidi/>
        <w:spacing w:after="0" w:before="0" w:line="480" w:lineRule="auto"/>
        <w:jc w:val="both"/>
      </w:pPr>
      <w:r>
        <w:rPr>
          <w:rFonts w:ascii="Times New Roman" w:cs="David" w:eastAsia="David" w:hAnsi="Times New Roman"/>
          <w:b w:val="false"/>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מאחר שמטרת המחקר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sz w:val="26"/>
          <w:szCs w:val="26"/>
          <w:rtl/>
        </w:rPr>
        <w:t xml:space="preserve">סוגת המחקר</w:t>
      </w:r>
    </w:p>
    <w:p>
      <w:pPr>
        <w:bidi/>
        <w:spacing w:after="0" w:before="0" w:line="480" w:lineRule="auto"/>
        <w:jc w:val="both"/>
      </w:pPr>
      <w:r>
        <w:rPr>
          <w:rFonts w:ascii="Times New Roman" w:cs="David" w:eastAsia="David" w:hAnsi="Times New Roman"/>
          <w:b w:val="false"/>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sz w:val="26"/>
          <w:szCs w:val="26"/>
          <w:rtl/>
        </w:rPr>
        <w:t xml:space="preserve">שדה המחקר והמשתתפים</w:t>
      </w:r>
    </w:p>
    <w:p>
      <w:pPr>
        <w:bidi/>
        <w:spacing w:after="0" w:before="0" w:line="480" w:lineRule="auto"/>
        <w:jc w:val="both"/>
      </w:pPr>
      <w:r>
        <w:rPr>
          <w:rFonts w:ascii="Times New Roman" w:cs="David" w:eastAsia="David" w:hAnsi="Times New Roman"/>
          <w:b w:val="false"/>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sz w:val="26"/>
          <w:szCs w:val="26"/>
          <w:rtl/>
        </w:rPr>
        <w:t xml:space="preserve">כלי המחקר</w:t>
      </w:r>
    </w:p>
    <w:p>
      <w:pPr>
        <w:bidi/>
        <w:spacing w:after="0" w:before="0" w:line="480" w:lineRule="auto"/>
        <w:jc w:val="both"/>
      </w:pPr>
      <w:r>
        <w:rPr>
          <w:rFonts w:ascii="Times New Roman" w:cs="David" w:eastAsia="David" w:hAnsi="Times New Roman"/>
          <w:b w:val="false"/>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sz w:val="26"/>
          <w:szCs w:val="26"/>
          <w:rtl/>
        </w:rPr>
        <w:t xml:space="preserve">הליך המחקר</w:t>
      </w:r>
    </w:p>
    <w:p>
      <w:pPr>
        <w:bidi/>
        <w:spacing w:after="0" w:before="0" w:line="480" w:lineRule="auto"/>
        <w:jc w:val="both"/>
      </w:pPr>
      <w:r>
        <w:rPr>
          <w:rFonts w:ascii="Times New Roman" w:cs="David" w:eastAsia="David" w:hAnsi="Times New Roman"/>
          <w:b w:val="false"/>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sz w:val="26"/>
          <w:szCs w:val="26"/>
          <w:rtl/>
        </w:rPr>
        <w:t xml:space="preserve">ניתוח הנתונים</w:t>
      </w:r>
    </w:p>
    <w:p>
      <w:pPr>
        <w:bidi/>
        <w:spacing w:after="0" w:before="0" w:line="480" w:lineRule="auto"/>
        <w:jc w:val="both"/>
      </w:pPr>
      <w:r>
        <w:rPr>
          <w:rFonts w:ascii="Times New Roman" w:cs="David" w:eastAsia="David" w:hAnsi="Times New Roman"/>
          <w:b w:val="false"/>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w:t>
      </w:r>
    </w:p>
    <w:p>
      <w:pPr>
        <w:pStyle w:val="Heading2"/>
        <w:bidi/>
        <w:spacing w:after="0" w:before="120" w:line="480" w:lineRule="auto"/>
        <w:jc w:val="start"/>
      </w:pPr>
      <w:r>
        <w:rPr>
          <w:rFonts w:ascii="Times New Roman" w:cs="David" w:eastAsia="David" w:hAnsi="Times New Roman"/>
          <w:b/>
          <w:bCs/>
          <w:sz w:val="26"/>
          <w:szCs w:val="26"/>
          <w:rtl/>
        </w:rPr>
        <w:t xml:space="preserve">אתיקה במחקר</w:t>
      </w:r>
    </w:p>
    <w:p>
      <w:pPr>
        <w:bidi/>
        <w:spacing w:after="0" w:before="0" w:line="480" w:lineRule="auto"/>
        <w:jc w:val="both"/>
      </w:pPr>
      <w:r>
        <w:rPr>
          <w:rFonts w:ascii="Times New Roman" w:cs="David" w:eastAsia="David" w:hAnsi="Times New Roman"/>
          <w:b w:val="false"/>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ממצאים</w:t>
      </w:r>
    </w:p>
    <w:p>
      <w:pPr>
        <w:bidi/>
        <w:spacing w:after="0" w:before="0" w:line="480" w:lineRule="auto"/>
        <w:jc w:val="both"/>
      </w:pPr>
      <w:r>
        <w:rPr>
          <w:rFonts w:ascii="Times New Roman" w:cs="David" w:eastAsia="David" w:hAnsi="Times New Roman"/>
          <w:b w:val="false"/>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sz w:val="26"/>
          <w:szCs w:val="26"/>
          <w:rtl/>
        </w:rPr>
        <w:t xml:space="preserve">תמה 1: 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sz w:val="24"/>
          <w:szCs w:val="24"/>
          <w:rtl/>
        </w:rPr>
        <w:t xml:space="preserve">קטגוריה 1: משחקי מרדף ותופסת</w:t>
      </w:r>
    </w:p>
    <w:p>
      <w:pPr>
        <w:bidi/>
        <w:spacing w:after="0" w:before="0" w:line="480" w:lineRule="auto"/>
        <w:jc w:val="both"/>
      </w:pPr>
      <w:r>
        <w:rPr>
          <w:rFonts w:ascii="Times New Roman" w:cs="David" w:eastAsia="David" w:hAnsi="Times New Roman"/>
          <w:b w:val="false"/>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sz w:val="24"/>
          <w:szCs w:val="24"/>
          <w:rtl/>
        </w:rPr>
        <w:t xml:space="preserve">קטגוריה 2: הדשא והמרחב הפתוח כמרחבים לתנועה</w:t>
      </w:r>
    </w:p>
    <w:p>
      <w:pPr>
        <w:bidi/>
        <w:spacing w:after="0" w:before="0" w:line="480" w:lineRule="auto"/>
        <w:jc w:val="both"/>
      </w:pPr>
      <w:r>
        <w:rPr>
          <w:rFonts w:ascii="Times New Roman" w:cs="David" w:eastAsia="David" w:hAnsi="Times New Roman"/>
          <w:b w:val="false"/>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sz w:val="24"/>
          <w:szCs w:val="24"/>
          <w:rtl/>
        </w:rPr>
        <w:t xml:space="preserve">קטגוריה 3: מעבר בין אזורי החצר בהתאם לאופי הפעילות</w:t>
      </w:r>
    </w:p>
    <w:p>
      <w:pPr>
        <w:bidi/>
        <w:spacing w:after="0" w:before="0" w:line="480" w:lineRule="auto"/>
        <w:jc w:val="both"/>
      </w:pPr>
      <w:r>
        <w:rPr>
          <w:rFonts w:ascii="Times New Roman" w:cs="David" w:eastAsia="David" w:hAnsi="Times New Roman"/>
          <w:b w:val="false"/>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sz w:val="26"/>
          <w:szCs w:val="26"/>
          <w:rtl/>
        </w:rPr>
        <w:t xml:space="preserve">תמה 2: 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sz w:val="24"/>
          <w:szCs w:val="24"/>
          <w:rtl/>
        </w:rPr>
        <w:t xml:space="preserve">קטגוריה 1: שיחות חברתיות ושיתוף חוויות</w:t>
      </w:r>
    </w:p>
    <w:p>
      <w:pPr>
        <w:bidi/>
        <w:spacing w:after="0" w:before="0" w:line="480" w:lineRule="auto"/>
        <w:jc w:val="both"/>
      </w:pPr>
      <w:r>
        <w:rPr>
          <w:rFonts w:ascii="Times New Roman" w:cs="David" w:eastAsia="David" w:hAnsi="Times New Roman"/>
          <w:b w:val="false"/>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sz w:val="24"/>
          <w:szCs w:val="24"/>
          <w:rtl/>
        </w:rPr>
        <w:t xml:space="preserve">קטגוריה 2: יצירת קשרים והצטרפות לפעילות</w:t>
      </w:r>
    </w:p>
    <w:p>
      <w:pPr>
        <w:bidi/>
        <w:spacing w:after="0" w:before="0" w:line="480" w:lineRule="auto"/>
        <w:jc w:val="both"/>
      </w:pPr>
      <w:r>
        <w:rPr>
          <w:rFonts w:ascii="Times New Roman" w:cs="David" w:eastAsia="David" w:hAnsi="Times New Roman"/>
          <w:b w:val="false"/>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sz w:val="24"/>
          <w:szCs w:val="24"/>
          <w:rtl/>
        </w:rPr>
        <w:t xml:space="preserve">קטגוריה 3: מרחבי מנוחה כמוקדי אינטראקציה</w:t>
      </w:r>
    </w:p>
    <w:p>
      <w:pPr>
        <w:bidi/>
        <w:spacing w:after="0" w:before="0" w:line="480" w:lineRule="auto"/>
        <w:jc w:val="both"/>
      </w:pPr>
      <w:r>
        <w:rPr>
          <w:rFonts w:ascii="Times New Roman" w:cs="David" w:eastAsia="David" w:hAnsi="Times New Roman"/>
          <w:b w:val="false"/>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sz w:val="26"/>
          <w:szCs w:val="26"/>
          <w:rtl/>
        </w:rPr>
        <w:t xml:space="preserve">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sz w:val="24"/>
          <w:szCs w:val="24"/>
          <w:rtl/>
        </w:rPr>
        <w:t xml:space="preserve">קטגוריה 1: שימוש באלמנטים טבעיים במשחק דמיוני</w:t>
      </w:r>
    </w:p>
    <w:p>
      <w:pPr>
        <w:bidi/>
        <w:spacing w:after="0" w:before="0" w:line="480" w:lineRule="auto"/>
        <w:jc w:val="both"/>
      </w:pPr>
      <w:r>
        <w:rPr>
          <w:rFonts w:ascii="Times New Roman" w:cs="David" w:eastAsia="David" w:hAnsi="Times New Roman"/>
          <w:b w:val="false"/>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sz w:val="24"/>
          <w:szCs w:val="24"/>
          <w:rtl/>
        </w:rPr>
        <w:t xml:space="preserve">קטגוריה 2: שיתוף פעולה וחלוקת תפקידים</w:t>
      </w:r>
    </w:p>
    <w:p>
      <w:pPr>
        <w:bidi/>
        <w:spacing w:after="0" w:before="0" w:line="480" w:lineRule="auto"/>
        <w:jc w:val="both"/>
      </w:pPr>
      <w:r>
        <w:rPr>
          <w:rFonts w:ascii="Times New Roman" w:cs="David" w:eastAsia="David" w:hAnsi="Times New Roman"/>
          <w:b w:val="false"/>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sz w:val="24"/>
          <w:szCs w:val="24"/>
          <w:rtl/>
        </w:rPr>
        <w:t xml:space="preserve">קטגוריה 3: פתרון בעיות במהלך המשחק</w:t>
      </w:r>
    </w:p>
    <w:p>
      <w:pPr>
        <w:bidi/>
        <w:spacing w:after="0" w:before="0" w:line="480" w:lineRule="auto"/>
        <w:jc w:val="both"/>
      </w:pPr>
      <w:r>
        <w:rPr>
          <w:rFonts w:ascii="Times New Roman" w:cs="David" w:eastAsia="David" w:hAnsi="Times New Roman"/>
          <w:b w:val="false"/>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sz w:val="26"/>
          <w:szCs w:val="26"/>
          <w:rtl/>
        </w:rPr>
        <w:t xml:space="preserve">תמה 4: 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sz w:val="24"/>
          <w:szCs w:val="24"/>
          <w:rtl/>
        </w:rPr>
        <w:t xml:space="preserve">קטגוריה 1: קונפליקטים סביב שימוש במרחב</w:t>
      </w:r>
    </w:p>
    <w:p>
      <w:pPr>
        <w:bidi/>
        <w:spacing w:after="0" w:before="0" w:line="480" w:lineRule="auto"/>
        <w:jc w:val="both"/>
      </w:pPr>
      <w:r>
        <w:rPr>
          <w:rFonts w:ascii="Times New Roman" w:cs="David" w:eastAsia="David" w:hAnsi="Times New Roman"/>
          <w:b w:val="false"/>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sz w:val="24"/>
          <w:szCs w:val="24"/>
          <w:rtl/>
        </w:rPr>
        <w:t xml:space="preserve">קטגוריה 2: משא ומתן ופשרה</w:t>
      </w:r>
    </w:p>
    <w:p>
      <w:pPr>
        <w:bidi/>
        <w:spacing w:after="0" w:before="0" w:line="480" w:lineRule="auto"/>
        <w:jc w:val="both"/>
      </w:pPr>
      <w:r>
        <w:rPr>
          <w:rFonts w:ascii="Times New Roman" w:cs="David" w:eastAsia="David" w:hAnsi="Times New Roman"/>
          <w:b w:val="false"/>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sz w:val="24"/>
          <w:szCs w:val="24"/>
          <w:rtl/>
        </w:rPr>
        <w:t xml:space="preserve">קטגוריה 3: תמיכה הדדית ופתרון בעיות</w:t>
      </w:r>
    </w:p>
    <w:p>
      <w:pPr>
        <w:bidi/>
        <w:spacing w:after="0" w:before="0" w:line="480" w:lineRule="auto"/>
        <w:jc w:val="both"/>
      </w:pPr>
      <w:r>
        <w:rPr>
          <w:rFonts w:ascii="Times New Roman" w:cs="David" w:eastAsia="David" w:hAnsi="Times New Roman"/>
          <w:b w:val="false"/>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דיון</w:t>
      </w:r>
    </w:p>
    <w:p>
      <w:pPr>
        <w:bidi/>
        <w:spacing w:after="0" w:before="0" w:line="480" w:lineRule="auto"/>
        <w:jc w:val="both"/>
      </w:pPr>
      <w:r>
        <w:rPr>
          <w:rFonts w:ascii="Times New Roman" w:cs="David" w:eastAsia="David" w:hAnsi="Times New Roman"/>
          <w:b w:val="false"/>
          <w:sz w:val="24"/>
          <w:szCs w:val="24"/>
          <w:rtl/>
        </w:rPr>
        <w:t xml:space="preserve">מטרתו של פרק זה למקם את ממצאי המחקר בתוך הידע הקיים: לבחון היכן הם תומכים בספרות, היכן הם מוסיפים לה והיכן הם עומדים בניגוד לה. הפרק בנוי כתמונת מראה לפרק הממצאים ודן בארבע התמות כסדרן, ובסופו מוצגות מגבלות המחקר והצעות להמשך.</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התמה הראשונה העלתה שהתלמידים גייסו את האלמנטים הפיזיים לארגון המשחק התנועתי: העצים שימשו מסתור, הדשא שימש מרחב ריצה והשביל הוגדר גבול משחק. ממצא זה תומך בספרות המלמדת שמבנה החצר מעצב את היקף הפעילות ואת סוגה (Lemberg et al., 2023; Schipperijn et al., 2024), ומתיישב היטב עם תיאוריית ההזדמנויות, שלפיה הילדים קוראים את המרחב דרך מה שאפשר לעשות בו (J. J. Gibson, 1979; Kyttä, 2004). לצד התמיכה יש כאן גם תוספת: בעוד שמחקרי ההזדמנויות מתארים בעיקר את הפעולה שהאלמנט מזמן, התצפיות הראו שהתלמידים הופכים את האלמנט לכלל חברתי מוסכם, כדוגמת ההחלטה שאין לחצות את השביל. האלמנט הפיזי אינו רק מזמן פעולה; הוא מגויס לחוקת המשחק.</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התמה השנייה העלתה שהספסלים, שולחנות העץ והגדר שימשו מוקדי מפגש, שיחה והצטרפות. הדבר תומך בממצאים שלפיהם אזורים מסוימים בחצר מתפקדים כמוקדי התקבצות חברתית (Nasri et al., 2022) ושאינטראקציות פרו-חברתיות מעוגנות באזורים מוגדרים, ובהם אזורי ישיבה וצל (Hazlehurst et al., 2023; Raney et al., 2023). התצפיות מוסיפות לתמונה הכמותית הזו תיאור מיקרו של התהליך עצמו: כיצד תלמידה היושבת לבדה על ספסל הופכת למוקד של מפגש, וכיצד קבוצה בונה מפנה מקום לילדה מצטרפת ומסבירה לה את כללי המשחק. תהליכי הצטרפות אלה, שתועדו בספרות בעיקר בגיל הגן (יריב ואחרים, 2022), נצפו כאן מתרחשים באופן עצמאי סביב אלמנטים פיזיים בחצר בית הספר.</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התמה השלישית העלתה שהתלמידים השתמשו בענפים, בעלים ובאבנים כחומרי משחק פתוחים ובנו מהם בית ועיר קטנה תוך חלוקת תפקידים ופתרון בעיות. ממצא זה תומך במחקרי החלקים הפתוחים, המצביעים על תרומת חומרים ללא ייעוד קבוע להתפתחות קוגניטיבית, חברתית ורגשית (Flannigan &amp; Dietze, 2017; J. L. Gibson et al., 2017), ובממצא שלפיו אלמנטים מבוססי טבע מרחיבים את רפרטואר המשחק אל עבר משחק דמיוני ושקט (Raney et al., 2023). התוספת של המחקר הנוכחי היא בתיעוד רצף שלם של אירוע: יוזמה, איסוף חומרים, חלוקת עבודה, קריסת המבנה, ניסיון מחודש ומשחק תפקידים בתוך התוצר. הרצף ממחיש שהערך ההתפתחותי אינו טמון בחומר עצמו אלא בתהליך החברתי שהוא מזמן.</w:t>
      </w:r>
    </w:p>
    <w:p>
      <w:pPr>
        <w:pStyle w:val="Heading2"/>
        <w:bidi/>
        <w:spacing w:after="0" w:before="120" w:line="480" w:lineRule="auto"/>
        <w:jc w:val="start"/>
      </w:pPr>
      <w:r>
        <w:rPr>
          <w:rFonts w:ascii="Times New Roman" w:cs="David" w:eastAsia="David" w:hAnsi="Times New Roman"/>
          <w:b/>
          <w:bCs/>
          <w:sz w:val="26"/>
          <w:szCs w:val="26"/>
          <w:rtl/>
        </w:rPr>
        <w:t xml:space="preserve">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התמה הרביעית העלתה שהאלמנטים הפיזיים היו גם מושא למחלוקת: הוויכוח על מקום הישיבה על הספסל הסלים עד דחיפה קלה, ונפתר בהצעת פשרה של תלמיד שלישי. הספרות מתעדת קונפליקטים על שטח כחסם מרכזי לפעילות בהפסקה (Pawlowski et al., 2014). המחקר הנוכחי מציג תמונה שונה במקצת, ואפשר לראות בה חידוש על דרך הניגוד: הקונפליקט סביב הספסל לא נותר חסם אלא הפך זירת למידה חברתית, שבה אותו אלמנט פיזי שעורר את המחלוקת שימש גם אמצעי לפתרונה, באמצעות חלוקת המרחב בין הצדדים. נראה אפוא שבתנאים מסוימים, ובהם נוכחות עמיתים מתווכים, המשאב הפיזי המוגבל מזמן דווקא התנסות במשא ומתן ובפשרה. לממצא זה גם השלכה מעשית: מערכת החינוך משקיעה כיום מאמץ מכוון בפיתוח כשירות חברתית של תלמידים, בהובלת הצוותים החינוכיים והיועצות ובשיתוף ההורים (כורם, 2022), והתצפיות מלמדות שההפסקה בחצר היא זירה טבעית שבה כשירות זו נבנית גם ללא תיווך של מבוגר.</w:t>
      </w:r>
    </w:p>
    <w:p>
      <w:pPr>
        <w:pStyle w:val="Heading2"/>
        <w:bidi/>
        <w:spacing w:after="0" w:before="120" w:line="480" w:lineRule="auto"/>
        <w:jc w:val="start"/>
      </w:pPr>
      <w:r>
        <w:rPr>
          <w:rFonts w:ascii="Times New Roman" w:cs="David" w:eastAsia="David" w:hAnsi="Times New Roman"/>
          <w:b/>
          <w:bCs/>
          <w:sz w:val="26"/>
          <w:szCs w:val="26"/>
          <w:rtl/>
        </w:rPr>
        <w:t xml:space="preserve">מגבלות המחקר והצעות להמשך</w:t>
      </w:r>
    </w:p>
    <w:p>
      <w:pPr>
        <w:bidi/>
        <w:spacing w:after="0" w:before="0" w:line="480" w:lineRule="auto"/>
        <w:jc w:val="both"/>
      </w:pPr>
      <w:r>
        <w:rPr>
          <w:rFonts w:ascii="Times New Roman" w:cs="David" w:eastAsia="David" w:hAnsi="Times New Roman"/>
          <w:b w:val="false"/>
          <w:sz w:val="24"/>
          <w:szCs w:val="24"/>
          <w:rtl/>
        </w:rPr>
        <w:t xml:space="preserve">למחקר כמה מגבלות.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כמו כן,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סיכום</w:t>
      </w:r>
    </w:p>
    <w:p>
      <w:pPr>
        <w:bidi/>
        <w:spacing w:after="0" w:before="0" w:line="480" w:lineRule="auto"/>
        <w:jc w:val="both"/>
      </w:pPr>
      <w:r>
        <w:rPr>
          <w:rFonts w:ascii="Times New Roman" w:cs="David" w:eastAsia="David" w:hAnsi="Times New Roman"/>
          <w:b w:val="false"/>
          <w:sz w:val="24"/>
          <w:szCs w:val="24"/>
          <w:rtl/>
        </w:rPr>
        <w:t xml:space="preserve">העבודה בחנה כיצד משמשים האלמנטים הפיזיים בחצר בית הספר את תלמידי כיתה ב' במהלך ההפסקה. משבע תצפיות טהורות שנותחו על פי עקרונות התיאוריה המעוגנת בשדה עלו ארבע תמות: החצר כמרחב למשחק ולתנועה, החצר כמרחב ליצירת קשרים ולשיחה, האלמנטים הפיזיים כבסיס למשחק יצירתי ולשיתוף פעולה, והחצר כזירה לקונפליקט ולמשא ומתן. התשובה לשאלת המחקר היא שהאלמנטים הפיזיים מתפקדים בעת ובעונה אחת כתפאורה, ככלי משחק, כגבול מוסכם, כמוקד מפגש וכמושא למחלוקת, ושהתלמידים עוברים ביניהם בגמישות בהתאם לצורכי הפעילות והקשר החברתי.</w:t>
      </w:r>
    </w:p>
    <w:p>
      <w:pPr>
        <w:bidi/>
        <w:spacing w:after="0" w:before="0" w:line="480" w:lineRule="auto"/>
        <w:jc w:val="both"/>
      </w:pPr>
      <w:r>
        <w:rPr>
          <w:rFonts w:ascii="Times New Roman" w:cs="David" w:eastAsia="David" w:hAnsi="Times New Roman"/>
          <w:b w:val="false"/>
          <w:sz w:val="24"/>
          <w:szCs w:val="24"/>
          <w:rtl/>
        </w:rPr>
        <w:t xml:space="preserve">מן הממצאים נגזרות כמה המלצות יישומיות. ראשית, בתכנון חצרות ראוי לכלול לצד המתקנים גם אלמנטים פתוחים וחומרים טבעיים, ענפים, אבנים ועלים, המזמנים משחק יצירתי ושיתוף פעולה. שנית, מומלץ להציב ריהוט ישיבה באזורים מוצלים ומעט מרוחקים ממוקדי הריצה, שכן אלה שימשו בתצפיות מוקדי אינטראקציה שקטה והצטרפות חברתית. שלישית, כדאי להכשיר את צוותי בתי הספר לראות בהפסקה זמן חינוכי ולהשתמש בתצפית בחצר ככלי לזיהוי תלמידים המתקשים להצטרף למשחק. רביעית, מוצע לשתף את התלמידים עצמם בעיצוב החצר, מתוך ההבנה שעלתה מן התצפיות שהם קוראים את המרחב ומעניקים לו שימושים ומשמעויות משלהם.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רשימת מקורות</w:t>
      </w:r>
    </w:p>
    <w:p>
      <w:pPr>
        <w:bidi/>
        <w:spacing w:line="480" w:lineRule="auto"/>
        <w:ind w:start="709" w:hanging="709"/>
        <w:jc w:val="start"/>
      </w:pPr>
      <w:r>
        <w:rPr>
          <w:rFonts w:ascii="Times New Roman" w:cs="David" w:eastAsia="David" w:hAnsi="Times New Roman"/>
          <w:b w:val="false"/>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sz w:val="24"/>
          <w:szCs w:val="24"/>
          <w:rtl/>
        </w:rPr>
        <w:t xml:space="preserve">זבה, ר', וצ'רצ'מן, א' (1988). חצר בית-הספר היסודי: עקרונות תכנון כנגד עקרונות חינוך. עיונים בחינוך, 35-48. https://www.jstor.org/stable/23393161</w:t>
      </w:r>
    </w:p>
    <w:p>
      <w:pPr>
        <w:bidi/>
        <w:spacing w:line="480" w:lineRule="auto"/>
        <w:ind w:start="709" w:hanging="709"/>
        <w:jc w:val="start"/>
      </w:pPr>
      <w:r>
        <w:rPr>
          <w:rFonts w:ascii="Times New Roman" w:cs="David" w:eastAsia="David" w:hAnsi="Times New Roman"/>
          <w:b w:val="false"/>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sz w:val="24"/>
          <w:szCs w:val="24"/>
        </w:rPr>
        <w:t xml:space="preserve">Strauss, A., &amp; Corbin, J. (1994). Grounded theory methodology: An overview. In N. K. Denzin &amp; Y. S. Lincoln (Eds.), Handbook of qualitative research (pp. 273-285). Sage.</w:t>
      </w:r>
    </w:p>
    <w:p>
      <w:pPr>
        <w:pStyle w:val="Heading1"/>
        <w:pageBreakBefore/>
        <w:bidi/>
        <w:spacing w:after="120" w:before="0" w:line="480" w:lineRule="auto"/>
        <w:jc w:val="center"/>
      </w:pPr>
      <w:r>
        <w:rPr>
          <w:rFonts w:ascii="Times New Roman" w:cs="David" w:eastAsia="David" w:hAnsi="Times New Roman"/>
          <w:b/>
          <w:bCs/>
          <w:sz w:val="32"/>
          <w:szCs w:val="32"/>
          <w:rtl/>
        </w:rPr>
        <w:t xml:space="preserve">נספחים</w:t>
      </w:r>
    </w:p>
    <w:p>
      <w:pPr>
        <w:pStyle w:val="Heading2"/>
        <w:bidi/>
        <w:spacing w:after="0" w:before="120" w:line="480" w:lineRule="auto"/>
        <w:jc w:val="start"/>
      </w:pPr>
      <w:r>
        <w:rPr>
          <w:rFonts w:ascii="Times New Roman" w:cs="David" w:eastAsia="David" w:hAnsi="Times New Roman"/>
          <w:b/>
          <w:bCs/>
          <w:sz w:val="26"/>
          <w:szCs w:val="26"/>
          <w:rtl/>
        </w:rPr>
        <w:t xml:space="preserve">נספח א': תצפיות המחקר</w:t>
      </w:r>
    </w:p>
    <w:p>
      <w:pPr>
        <w:bidi/>
        <w:spacing w:after="0" w:before="0" w:line="480" w:lineRule="auto"/>
        <w:jc w:val="both"/>
      </w:pPr>
      <w:r>
        <w:rPr>
          <w:rFonts w:ascii="Times New Roman" w:cs="David" w:eastAsia="David" w:hAnsi="Times New Roman"/>
          <w:b w:val="false"/>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sz w:val="24"/>
          <w:szCs w:val="24"/>
          <w:rtl/>
        </w:rPr>
        <w:t xml:space="preserve">תאריך: 11.01.2026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תאריך: 13.01.2026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sz w:val="24"/>
          <w:szCs w:val="24"/>
          <w:rtl/>
        </w:rPr>
        <w:t xml:space="preserve">תאריך: 21.01.2026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sz w:val="24"/>
          <w:szCs w:val="24"/>
          <w:rtl/>
        </w:rPr>
        <w:t xml:space="preserve">תאריך: 04.02.2026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sz w:val="24"/>
          <w:szCs w:val="24"/>
          <w:rtl/>
        </w:rPr>
        <w:t xml:space="preserve">תאריך: 08.02.2026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תאריך: 10.02.2026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sz w:val="24"/>
          <w:szCs w:val="24"/>
          <w:rtl/>
        </w:rPr>
        <w:t xml:space="preserve">תאריך: 11.02.2026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2026-08-24T17:50:05.645Z</dcterms:created>
  <dcterms:modified xsi:type="dcterms:W3CDTF">2026-08-24T17:50:05.658Z</dcterms:modified>
</cp:coreProperties>
</file>

<file path=docProps/custom.xml><?xml version="1.0" encoding="utf-8"?>
<Properties xmlns="http://schemas.openxmlformats.org/officeDocument/2006/custom-properties" xmlns:vt="http://schemas.openxmlformats.org/officeDocument/2006/docPropsVTypes"/>
</file>