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החברים הם בעיקר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קידום תנאי העבודה בדרך של משא ומתן קיבוצי. </w:t>
      </w:r>
      <w:r>
        <w:rPr>
          <w:b/>
          <w:sz w:val="24"/>
          <w:rtl/>
          <w:szCs w:val="24"/>
          <w:bCs/>
        </w:rPr>
        <w:t>מבחן ההתארגנות</w:t>
      </w:r>
      <w:r>
        <w:rPr>
          <w:sz w:val="24"/>
          <w:rtl/>
          <w:szCs w:val="24"/>
        </w:rPr>
        <w:t xml:space="preserve">: ארגון של קבע, עצמאי,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לפי </w:t>
      </w:r>
      <w:r>
        <w:rPr>
          <w:b/>
          <w:sz w:val="24"/>
          <w:rtl/>
          <w:szCs w:val="24"/>
          <w:bCs/>
        </w:rPr>
        <w:t>סעיף 22 לחוק</w:t>
      </w:r>
      <w:r>
        <w:rPr>
          <w:sz w:val="24"/>
          <w:rtl/>
          <w:szCs w:val="24"/>
        </w:rPr>
        <w:t xml:space="preserve"> הוראה אישית לטובת העובד גוברת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w:t>
      </w:r>
      <w:r>
        <w:rPr>
          <w:vertAlign w:val="superscript"/>
        </w:rPr>
        <w:footnoteReference w:id="4"/>
      </w:r>
      <w:r>
        <w:rPr>
          <w:sz w:val="24"/>
          <w:rtl/>
          <w:szCs w:val="24"/>
        </w:rPr>
        <w:t xml:space="preserve"> מטרתו העיקרית של ארגון עובדים חייבת להיות משא ומתן קיבוצי לשיפור תנאי העבודה,</w:t>
      </w:r>
      <w:r>
        <w:rPr>
          <w:vertAlign w:val="superscript"/>
        </w:rPr>
        <w:footnoteReference w:id="5"/>
      </w:r>
      <w:r>
        <w:rPr>
          <w:sz w:val="24"/>
          <w:rtl/>
          <w:szCs w:val="24"/>
        </w:rPr>
        <w:t xml:space="preserve"> וכשעיקר התנאים מעוגנים בחוזים האישיים, נותרת לזירה הקיבוצית רק "הפריפריה" של תנאי העבודה.</w:t>
      </w:r>
      <w:r>
        <w:rPr>
          <w:vertAlign w:val="superscript"/>
        </w:rPr>
        <w:footnoteReference w:id="6"/>
      </w:r>
      <w:r>
        <w:rPr>
          <w:sz w:val="24"/>
          <w:rtl/>
          <w:szCs w:val="24"/>
        </w:rPr>
        <w:t xml:space="preserve">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w:t>
      </w:r>
      <w:r>
        <w:rPr>
          <w:vertAlign w:val="superscript"/>
        </w:rPr>
        <w:footnoteReference w:id="7"/>
      </w:r>
      <w:r>
        <w:rPr>
          <w:sz w:val="24"/>
          <w:rtl/>
          <w:szCs w:val="24"/>
        </w:rPr>
        <w:t xml:space="preserve"> כך גם כאן, ואין נפקות לכך שעובדים רבים הצטרפו לקבוצה.</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8"/>
      </w:r>
      <w:r>
        <w:rPr>
          <w:sz w:val="24"/>
          <w:rtl/>
          <w:szCs w:val="24"/>
        </w:rPr>
        <w:t xml:space="preserve"> נקבע כי בשלב </w:t>
      </w:r>
      <w:r>
        <w:rPr>
          <w:b/>
          <w:sz w:val="24"/>
          <w:rtl/>
          <w:szCs w:val="24"/>
          <w:bCs/>
        </w:rPr>
        <w:t>ההתארגנות הפורצת</w:t>
      </w:r>
      <w:r>
        <w:rPr>
          <w:sz w:val="24"/>
          <w:rtl/>
          <w:szCs w:val="24"/>
        </w:rPr>
        <w:t>, לפני שקם ארגון יציג, גובר חופש ההתארגנות על חופש הביטוי של המעסיק. המעסיק אינו רשאי להביע עמדה על ההתארגנות בשום ערוץ, לרבות ב</w:t>
      </w:r>
      <w:r>
        <w:rPr>
          <w:b/>
          <w:sz w:val="24"/>
          <w:rtl/>
          <w:szCs w:val="24"/>
          <w:bCs/>
        </w:rPr>
        <w:t>שיחות אישיות</w:t>
      </w:r>
      <w:r>
        <w:rPr>
          <w:sz w:val="24"/>
          <w:rtl/>
          <w:szCs w:val="24"/>
        </w:rPr>
        <w:t xml:space="preserve"> ובדואר אלקטרוני, וגם הצבעה על חסרונותיה לעובדים או לחברה, נכונה ככל שתהיה, אסורה. ההלכה אושרה בבג"ץ.</w:t>
      </w:r>
      <w:r>
        <w:rPr>
          <w:vertAlign w:val="superscript"/>
        </w:rPr>
        <w:footnoteReference w:id="9"/>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בעקיפין את אותו מסר.</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10"/>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w:t>
      </w:r>
    </w:p>
    <w:p>
      <w:pPr>
        <w:bidi/>
        <w:spacing w:before="0" w:after="0"/>
        <w:jc w:val="both"/>
      </w:pPr>
      <w:r>
        <w:rPr>
          <w:sz w:val="24"/>
          <w:rtl/>
          <w:szCs w:val="24"/>
        </w:rPr>
        <w:t>"הראה"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11"/>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12"/>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משפיעה על שיבוץ וקידום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3"/>
      </w:r>
      <w:r>
        <w:rPr>
          <w:sz w:val="24"/>
          <w:rtl/>
          <w:szCs w:val="24"/>
        </w:rPr>
        <w:t xml:space="preserve"> לכן השתתפותו של אורי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4"/>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5"/>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6"/>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7"/>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8"/>
      </w:r>
      <w:r>
        <w:rPr>
          <w:sz w:val="24"/>
          <w:rtl/>
          <w:szCs w:val="24"/>
        </w:rPr>
        <w:t xml:space="preserve"> ושינוי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19"/>
      </w:r>
      <w:r>
        <w:rPr>
          <w:sz w:val="24"/>
          <w:rtl/>
          <w:szCs w:val="24"/>
        </w:rPr>
        <w:t xml:space="preserve"> עם זאת, העברה מתפקיד לתפקיד נחשבת בדרך כלל לחלק מהפררוגטיבה, בכפוף לחובת תום הלב.</w:t>
      </w:r>
      <w:r>
        <w:rPr>
          <w:vertAlign w:val="superscript"/>
        </w:rPr>
        <w:footnoteReference w:id="20"/>
      </w:r>
      <w:r>
        <w:rPr>
          <w:sz w:val="24"/>
          <w:rtl/>
          <w:szCs w:val="24"/>
        </w:rPr>
        <w:t xml:space="preserve"> העברתו של אורי פגעה במעמדו אף ששכרו לא השתנה, ותזמונה, סמוך לסיום השיחות, מעורר ספק אם נעשתה בתום לב. שינוי ב"תיאור עיקרי התפקיד" מחייב הודעה בכתב בתוך 30 יום, ובהיעדרה הנטל עובר למעסיק.</w:t>
      </w:r>
      <w:r>
        <w:rPr>
          <w:vertAlign w:val="superscript"/>
        </w:rPr>
        <w:footnoteReference w:id="21"/>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22"/>
      </w:r>
      <w:r>
        <w:rPr>
          <w:sz w:val="24"/>
          <w:rtl/>
          <w:szCs w:val="24"/>
        </w:rPr>
        <w:t xml:space="preserve"> הזכאות עצמה מותנית בשנת עבודה אחת ברציפות אצל אותו מעסיק,</w:t>
      </w:r>
      <w:r>
        <w:rPr>
          <w:vertAlign w:val="superscript"/>
        </w:rPr>
        <w:footnoteReference w:id="23"/>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עניין גולן</w:t>
      </w:r>
      <w:r>
        <w:rPr>
          <w:vertAlign w:val="superscript"/>
        </w:rPr>
        <w:footnoteReference w:id="24"/>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התריע על כוונתו להתפטר ועבד ארבעה חודשים במתכונת החדשה. השתיקה מלמדת על השלמה, גם אם התקופה קצרה מזו שבעניין גולן.</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כי קשה להראות התייחסויות חוזרות למיניותו של אורי. טענת ההתנכלות חזקה יותר. טענת ההתפטרות בדין מפוטר נכשלת בשל היעדר התראה והשיהוי (הלכת גולן).</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עס"ק (ארצי) 7670-10-20 דור אלון ניהול מתחמים קמעונאיים בע"מ נ' הסתדרות העובדים הלאומית בישראל (12.1.2021).</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ניצן צבי כהן "בית הדין קבע: ההסתדרות תשמש כארגון העובדים היציג בחברת נוקיה" דבר 10.6.2025.</w:t>
      </w:r>
    </w:p>
    <w:p>
      <w:pPr>
        <w:bidi/>
        <w:spacing w:before="0" w:after="0"/>
        <w:jc w:val="both"/>
      </w:pPr>
      <w:r>
        <w:rPr>
          <w:sz w:val="24"/>
          <w:rtl/>
          <w:szCs w:val="24"/>
        </w:rPr>
        <w:t>גיא דוידוב "הפררוגטיבה של המעביד ודיני החוזים: בעקבות פרשות נהרי וגרינשפן" משפטים לח(2) 417 (2008).</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עס"ק (ארצי) 7670-10-20 דור אלון ניהול מתחמים קמעונאיים בע"מ נ' הסתדרות העובדים הלאומית בישראל, פס' 70 (12.1.2021) (להלן: עניין דור אלון);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 האגף להתאגדות עובדים נ' ארגון עובדי הפיתוח והשיווק בנוקיה ישראל (נבו 10.6.2025) (להלן: עניין נוקיה), פס' 6, 41 ו-44.</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שם, פס' 50-51.</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שם, כפי שצוטט אצל ניצן צבי כהן "בית הדין קבע: ההסתדרות תשמש כארגון העובדים היציג בחברת נוקיה" דבר 10.6.2025.</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עניין נוקיה, לעיל ה"ש 4, פס' 47.</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 על הרגישות המיוחדת של שלב הפריצה בשל החשש מהתערבות המעסיק ראו עניין דור אלון, לעיל ה"ש 1, פס' 71.</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11, בעמ' 324.</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11, בעמ' 324.</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גיא דוידוב "הפררוגטיבה של המעביד ודיני החוזים: בעקבות פרשות נהרי וגרינשפן" משפטים לח(2) 417, 418 ו-439 (2008).</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22">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3">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4">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