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1200"/>
        <w:jc w:val="both"/>
      </w:pPr>
    </w:p>
    <w:p>
      <w:pPr>
        <w:bidi w:val="1"/>
        <w:spacing w:line="360" w:lineRule="auto" w:before="0" w:after="600"/>
        <w:jc w:val="center"/>
      </w:pPr>
      <w:r>
        <w:rPr>
          <w:rFonts w:ascii="David" w:hAnsi="David" w:cs="David"/>
          <w:b/>
          <w:sz w:val="36"/>
          <w:szCs w:val="36"/>
          <w:rtl w:val="1"/>
        </w:rPr>
        <w:t>עבודת סמינריון</w:t>
      </w:r>
    </w:p>
    <w:p>
      <w:pPr>
        <w:bidi w:val="1"/>
        <w:spacing w:line="360" w:lineRule="auto" w:before="0" w:after="280"/>
        <w:jc w:val="center"/>
      </w:pPr>
      <w:r>
        <w:rPr>
          <w:rFonts w:ascii="David" w:hAnsi="David" w:cs="David"/>
          <w:b/>
          <w:sz w:val="40"/>
          <w:szCs w:val="40"/>
          <w:rtl w:val="1"/>
        </w:rPr>
        <w:t>התנהלות צודקת בגן – נקודת מבט של גננות</w:t>
      </w:r>
    </w:p>
    <w:p>
      <w:pPr>
        <w:bidi w:val="1"/>
        <w:spacing w:line="360" w:lineRule="auto" w:before="0" w:after="1600"/>
        <w:jc w:val="center"/>
      </w:pPr>
      <w:r>
        <w:rPr>
          <w:rFonts w:ascii="David" w:hAnsi="David" w:cs="David"/>
          <w:b w:val="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sz w:val="24"/>
          <w:szCs w:val="24"/>
          <w:rtl w:val="1"/>
        </w:rPr>
        <w:t>מגישה: מיטל נאורי</w:t>
      </w:r>
    </w:p>
    <w:p>
      <w:pPr>
        <w:bidi w:val="1"/>
        <w:spacing w:line="360" w:lineRule="auto" w:before="0" w:after="120"/>
        <w:jc w:val="center"/>
      </w:pPr>
      <w:r>
        <w:rPr>
          <w:rFonts w:ascii="David" w:hAnsi="David" w:cs="David"/>
          <w:b w:val="0"/>
          <w:sz w:val="24"/>
          <w:szCs w:val="24"/>
          <w:rtl w:val="1"/>
        </w:rPr>
        <w:t>ת"ז: 206661779</w:t>
      </w:r>
    </w:p>
    <w:p>
      <w:pPr>
        <w:bidi w:val="1"/>
        <w:spacing w:line="360" w:lineRule="auto" w:before="0" w:after="120"/>
        <w:jc w:val="center"/>
      </w:pPr>
      <w:r>
        <w:rPr>
          <w:rFonts w:ascii="David" w:hAnsi="David" w:cs="David"/>
          <w:b w:val="0"/>
          <w:sz w:val="24"/>
          <w:szCs w:val="24"/>
          <w:rtl w:val="1"/>
        </w:rPr>
        <w:t>בהנחיית: ד"ר ליאת ביברמן-שלו</w:t>
      </w:r>
    </w:p>
    <w:p>
      <w:pPr>
        <w:bidi w:val="1"/>
        <w:spacing w:line="360" w:lineRule="auto" w:before="0" w:after="120"/>
        <w:jc w:val="center"/>
      </w:pPr>
      <w:r>
        <w:rPr>
          <w:rFonts w:ascii="David" w:hAnsi="David" w:cs="David"/>
          <w:b w:val="0"/>
          <w:sz w:val="24"/>
          <w:szCs w:val="24"/>
          <w:rtl w:val="1"/>
        </w:rPr>
        <w:t>תאריך הגשה: ______________</w:t>
      </w:r>
    </w:p>
    <w:p>
      <w:r>
        <w:br w:type="page"/>
      </w:r>
    </w:p>
    <w:p>
      <w:pPr>
        <w:bidi w:val="1"/>
        <w:spacing w:line="360" w:lineRule="auto" w:before="0" w:after="240"/>
        <w:jc w:val="center"/>
      </w:pPr>
      <w:r>
        <w:rPr>
          <w:rFonts w:ascii="David" w:hAnsi="David" w:cs="David"/>
          <w:b/>
          <w:sz w:val="30"/>
          <w:szCs w:val="30"/>
          <w:rtl w:val="1"/>
        </w:rPr>
        <w:t>תוכן העניינים</w:t>
      </w:r>
    </w:p>
    <w:p>
      <w:pPr>
        <w:bidi w:val="1"/>
        <w:spacing w:line="360" w:lineRule="auto"/>
      </w:pPr>
      <w:r>
        <w:rPr>
          <w:rFonts w:ascii="David" w:hAnsi="David" w:cs="David"/>
          <w:szCs w:val="24"/>
          <w:rtl w:val="1"/>
        </w:rPr>
        <w:t>1. מבוא</w:t>
      </w:r>
    </w:p>
    <w:p>
      <w:pPr>
        <w:bidi w:val="1"/>
        <w:spacing w:line="360" w:lineRule="auto"/>
      </w:pPr>
      <w:r>
        <w:rPr>
          <w:rFonts w:ascii="David" w:hAnsi="David" w:cs="David"/>
          <w:szCs w:val="24"/>
          <w:rtl w:val="1"/>
        </w:rPr>
        <w:t>2. סקירת הספרות</w:t>
      </w:r>
    </w:p>
    <w:p>
      <w:pPr>
        <w:bidi w:val="1"/>
        <w:spacing w:line="360" w:lineRule="auto"/>
      </w:pPr>
      <w:r>
        <w:rPr>
          <w:rFonts w:ascii="David" w:hAnsi="David" w:cs="David"/>
          <w:szCs w:val="24"/>
          <w:rtl w:val="1"/>
        </w:rPr>
        <w:t xml:space="preserve">   2.1 צדק וצדק חברתי בחינוך</w:t>
      </w:r>
    </w:p>
    <w:p>
      <w:pPr>
        <w:bidi w:val="1"/>
        <w:spacing w:line="360" w:lineRule="auto"/>
      </w:pPr>
      <w:r>
        <w:rPr>
          <w:rFonts w:ascii="David" w:hAnsi="David" w:cs="David"/>
          <w:szCs w:val="24"/>
          <w:rtl w:val="1"/>
        </w:rPr>
        <w:t xml:space="preserve">   2.2 צדק חלוקתי ועקרונותיו: שוויון, צורך והוגנות</w:t>
      </w:r>
    </w:p>
    <w:p>
      <w:pPr>
        <w:bidi w:val="1"/>
        <w:spacing w:line="360" w:lineRule="auto"/>
      </w:pPr>
      <w:r>
        <w:rPr>
          <w:rFonts w:ascii="David" w:hAnsi="David" w:cs="David"/>
          <w:szCs w:val="24"/>
          <w:rtl w:val="1"/>
        </w:rPr>
        <w:t xml:space="preserve">   2.3 צדק אינטראקציוני ופרוצדורלי: ממד היחס</w:t>
      </w:r>
    </w:p>
    <w:p>
      <w:pPr>
        <w:bidi w:val="1"/>
        <w:spacing w:line="360" w:lineRule="auto"/>
      </w:pPr>
      <w:r>
        <w:rPr>
          <w:rFonts w:ascii="David" w:hAnsi="David" w:cs="David"/>
          <w:szCs w:val="24"/>
          <w:rtl w:val="1"/>
        </w:rPr>
        <w:t xml:space="preserve">   2.4 מערכת החינוך כזירה של אינטרסים מתנגשים</w:t>
      </w:r>
    </w:p>
    <w:p>
      <w:pPr>
        <w:bidi w:val="1"/>
        <w:spacing w:line="360" w:lineRule="auto"/>
      </w:pPr>
      <w:r>
        <w:rPr>
          <w:rFonts w:ascii="David" w:hAnsi="David" w:cs="David"/>
          <w:szCs w:val="24"/>
          <w:rtl w:val="1"/>
        </w:rPr>
        <w:t xml:space="preserve">   2.5 תפיסות אנשי חינוך לגבי צדק והתנהלות הוגנת</w:t>
      </w:r>
    </w:p>
    <w:p>
      <w:pPr>
        <w:bidi w:val="1"/>
        <w:spacing w:line="360" w:lineRule="auto"/>
      </w:pPr>
      <w:r>
        <w:rPr>
          <w:rFonts w:ascii="David" w:hAnsi="David" w:cs="David"/>
          <w:szCs w:val="24"/>
          <w:rtl w:val="1"/>
        </w:rPr>
        <w:t xml:space="preserve">   2.6 צדק, הוגנות והתפתחות תחושת הצדק בגיל הרך</w:t>
      </w:r>
    </w:p>
    <w:p>
      <w:pPr>
        <w:bidi w:val="1"/>
        <w:spacing w:line="360" w:lineRule="auto"/>
      </w:pPr>
      <w:r>
        <w:rPr>
          <w:rFonts w:ascii="David" w:hAnsi="David" w:cs="David"/>
          <w:szCs w:val="24"/>
          <w:rtl w:val="1"/>
        </w:rPr>
        <w:t xml:space="preserve">   2.7 הגננת כסוכנת הצדק הראשונה: פער מחקרי</w:t>
      </w:r>
    </w:p>
    <w:p>
      <w:pPr>
        <w:bidi w:val="1"/>
        <w:spacing w:line="360" w:lineRule="auto"/>
      </w:pPr>
      <w:r>
        <w:rPr>
          <w:rFonts w:ascii="David" w:hAnsi="David" w:cs="David"/>
          <w:szCs w:val="24"/>
          <w:rtl w:val="1"/>
        </w:rPr>
        <w:t>3. שאלת המחקר</w:t>
      </w:r>
    </w:p>
    <w:p>
      <w:pPr>
        <w:bidi w:val="1"/>
        <w:spacing w:line="360" w:lineRule="auto"/>
      </w:pPr>
      <w:r>
        <w:rPr>
          <w:rFonts w:ascii="David" w:hAnsi="David" w:cs="David"/>
          <w:szCs w:val="24"/>
          <w:rtl w:val="1"/>
        </w:rPr>
        <w:t>4. מתודולוגיה</w:t>
      </w:r>
    </w:p>
    <w:p>
      <w:pPr>
        <w:bidi w:val="1"/>
        <w:spacing w:line="360" w:lineRule="auto"/>
      </w:pPr>
      <w:r>
        <w:rPr>
          <w:rFonts w:ascii="David" w:hAnsi="David" w:cs="David"/>
          <w:szCs w:val="24"/>
          <w:rtl w:val="1"/>
        </w:rPr>
        <w:t>5. פרק הממצאים</w:t>
      </w:r>
    </w:p>
    <w:p>
      <w:pPr>
        <w:bidi w:val="1"/>
        <w:spacing w:line="360" w:lineRule="auto"/>
      </w:pPr>
      <w:r>
        <w:rPr>
          <w:rFonts w:ascii="David" w:hAnsi="David" w:cs="David"/>
          <w:szCs w:val="24"/>
          <w:rtl w:val="1"/>
        </w:rPr>
        <w:t>6. דיון וסיכום</w:t>
      </w:r>
    </w:p>
    <w:p>
      <w:pPr>
        <w:bidi w:val="1"/>
        <w:spacing w:line="360" w:lineRule="auto"/>
      </w:pPr>
      <w:r>
        <w:rPr>
          <w:rFonts w:ascii="David" w:hAnsi="David" w:cs="David"/>
          <w:szCs w:val="24"/>
          <w:rtl w:val="1"/>
        </w:rPr>
        <w:t>7. רשימת המקורות</w:t>
      </w:r>
    </w:p>
    <w:p>
      <w:pPr>
        <w:bidi w:val="1"/>
        <w:spacing w:line="360" w:lineRule="auto"/>
      </w:pPr>
      <w:r>
        <w:rPr>
          <w:rFonts w:ascii="David" w:hAnsi="David" w:cs="David"/>
          <w:szCs w:val="24"/>
          <w:rtl w:val="1"/>
        </w:rPr>
        <w:t>8. נספחים</w:t>
      </w:r>
    </w:p>
    <w:p>
      <w:r>
        <w:br w:type="page"/>
      </w:r>
    </w:p>
    <w:p>
      <w:pPr>
        <w:bidi w:val="1"/>
        <w:spacing w:line="360" w:lineRule="auto" w:before="280" w:after="160"/>
        <w:jc w:val="right"/>
      </w:pPr>
      <w:r>
        <w:rPr>
          <w:rFonts w:ascii="David" w:hAnsi="David" w:cs="David"/>
          <w:b/>
          <w:sz w:val="30"/>
          <w:szCs w:val="30"/>
          <w:rtl w:val="1"/>
        </w:rPr>
        <w:t>1. מבוא</w:t>
      </w:r>
    </w:p>
    <w:p>
      <w:pPr>
        <w:bidi w:val="1"/>
        <w:spacing w:line="360" w:lineRule="auto" w:before="0" w:after="120"/>
        <w:ind w:firstLine="480"/>
        <w:jc w:val="both"/>
      </w:pPr>
      <w:r>
        <w:rPr>
          <w:rFonts w:ascii="David" w:hAnsi="David" w:cs="David"/>
          <w:b w:val="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firstLine="480"/>
        <w:jc w:val="both"/>
      </w:pPr>
      <w:r>
        <w:rPr>
          <w:rFonts w:ascii="David" w:hAnsi="David" w:cs="David"/>
          <w:b w:val="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firstLine="480"/>
        <w:jc w:val="both"/>
      </w:pPr>
      <w:r>
        <w:rPr>
          <w:rFonts w:ascii="David" w:hAnsi="David" w:cs="David"/>
          <w:b w:val="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firstLine="480"/>
        <w:jc w:val="both"/>
      </w:pPr>
      <w:r>
        <w:rPr>
          <w:rFonts w:ascii="David" w:hAnsi="David" w:cs="David"/>
          <w:b w:val="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firstLine="480"/>
        <w:jc w:val="both"/>
      </w:pPr>
      <w:r>
        <w:rPr>
          <w:rFonts w:ascii="David" w:hAnsi="David" w:cs="David"/>
          <w:b w:val="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r>
        <w:br w:type="page"/>
      </w:r>
    </w:p>
    <w:p>
      <w:pPr>
        <w:bidi w:val="1"/>
        <w:spacing w:line="360" w:lineRule="auto" w:before="280" w:after="160"/>
        <w:jc w:val="right"/>
      </w:pPr>
      <w:r>
        <w:rPr>
          <w:rFonts w:ascii="David" w:hAnsi="David" w:cs="David"/>
          <w:b/>
          <w:sz w:val="30"/>
          <w:szCs w:val="30"/>
          <w:rtl w:val="1"/>
        </w:rPr>
        <w:t>2. סקירת הספרות</w:t>
      </w:r>
    </w:p>
    <w:p>
      <w:pPr>
        <w:bidi w:val="1"/>
        <w:spacing w:line="360" w:lineRule="auto" w:before="280" w:after="160"/>
        <w:jc w:val="right"/>
      </w:pPr>
      <w:r>
        <w:rPr>
          <w:rFonts w:ascii="David" w:hAnsi="David" w:cs="David"/>
          <w:b/>
          <w:sz w:val="26"/>
          <w:szCs w:val="26"/>
          <w:rtl w:val="1"/>
        </w:rPr>
        <w:t>2.1 צדק וצדק חברתי בחינוך</w:t>
      </w:r>
    </w:p>
    <w:p>
      <w:pPr>
        <w:bidi w:val="1"/>
        <w:spacing w:line="360" w:lineRule="auto" w:before="0" w:after="120"/>
        <w:ind w:firstLine="480"/>
        <w:jc w:val="both"/>
      </w:pPr>
      <w:r>
        <w:rPr>
          <w:rFonts w:ascii="David" w:hAnsi="David" w:cs="David"/>
          <w:b w:val="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firstLine="480"/>
        <w:jc w:val="both"/>
      </w:pPr>
      <w:r>
        <w:rPr>
          <w:rFonts w:ascii="David" w:hAnsi="David" w:cs="David"/>
          <w:b w:val="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firstLine="480"/>
        <w:jc w:val="both"/>
      </w:pPr>
      <w:r>
        <w:rPr>
          <w:rFonts w:ascii="David" w:hAnsi="David" w:cs="David"/>
          <w:b w:val="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firstLine="480"/>
        <w:jc w:val="both"/>
      </w:pPr>
      <w:r>
        <w:rPr>
          <w:rFonts w:ascii="David" w:hAnsi="David" w:cs="David"/>
          <w:b w:val="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firstLine="480"/>
        <w:jc w:val="both"/>
      </w:pPr>
      <w:r>
        <w:rPr>
          <w:rFonts w:ascii="David" w:hAnsi="David" w:cs="David"/>
          <w:b w:val="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spacing w:line="360" w:lineRule="auto" w:before="280" w:after="160"/>
        <w:jc w:val="right"/>
      </w:pPr>
      <w:r>
        <w:rPr>
          <w:rFonts w:ascii="David" w:hAnsi="David" w:cs="David"/>
          <w:b/>
          <w:sz w:val="26"/>
          <w:szCs w:val="26"/>
          <w:rtl w:val="1"/>
        </w:rPr>
        <w:t>2.2 צדק חלוקתי ועקרונותיו: שוויון, צורך והוגנות</w:t>
      </w:r>
    </w:p>
    <w:p>
      <w:pPr>
        <w:bidi w:val="1"/>
        <w:spacing w:line="360" w:lineRule="auto" w:before="0" w:after="120"/>
        <w:ind w:firstLine="480"/>
        <w:jc w:val="both"/>
      </w:pPr>
      <w:r>
        <w:rPr>
          <w:rFonts w:ascii="David" w:hAnsi="David" w:cs="David"/>
          <w:b w:val="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firstLine="480"/>
        <w:jc w:val="both"/>
      </w:pPr>
      <w:r>
        <w:rPr>
          <w:rFonts w:ascii="David" w:hAnsi="David" w:cs="David"/>
          <w:b w:val="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firstLine="480"/>
        <w:jc w:val="both"/>
      </w:pPr>
      <w:r>
        <w:rPr>
          <w:rFonts w:ascii="David" w:hAnsi="David" w:cs="David"/>
          <w:b w:val="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firstLine="480"/>
        <w:jc w:val="both"/>
      </w:pPr>
      <w:r>
        <w:rPr>
          <w:rFonts w:ascii="David" w:hAnsi="David" w:cs="David"/>
          <w:b w:val="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firstLine="480"/>
        <w:jc w:val="both"/>
      </w:pPr>
      <w:r>
        <w:rPr>
          <w:rFonts w:ascii="David" w:hAnsi="David" w:cs="David"/>
          <w:b w:val="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firstLine="480"/>
        <w:jc w:val="both"/>
      </w:pPr>
      <w:r>
        <w:rPr>
          <w:rFonts w:ascii="David" w:hAnsi="David" w:cs="David"/>
          <w:b w:val="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spacing w:line="360" w:lineRule="auto" w:before="280" w:after="160"/>
        <w:jc w:val="right"/>
      </w:pPr>
      <w:r>
        <w:rPr>
          <w:rFonts w:ascii="David" w:hAnsi="David" w:cs="David"/>
          <w:b/>
          <w:sz w:val="26"/>
          <w:szCs w:val="26"/>
          <w:rtl w:val="1"/>
        </w:rPr>
        <w:t>2.3 צדק אינטראקציוני ופרוצדורלי: ממד היחס</w:t>
      </w:r>
    </w:p>
    <w:p>
      <w:pPr>
        <w:bidi w:val="1"/>
        <w:spacing w:line="360" w:lineRule="auto" w:before="0" w:after="120"/>
        <w:ind w:firstLine="480"/>
        <w:jc w:val="both"/>
      </w:pPr>
      <w:r>
        <w:rPr>
          <w:rFonts w:ascii="David" w:hAnsi="David" w:cs="David"/>
          <w:b w:val="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firstLine="480"/>
        <w:jc w:val="both"/>
      </w:pPr>
      <w:r>
        <w:rPr>
          <w:rFonts w:ascii="David" w:hAnsi="David" w:cs="David"/>
          <w:b w:val="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firstLine="480"/>
        <w:jc w:val="both"/>
      </w:pPr>
      <w:r>
        <w:rPr>
          <w:rFonts w:ascii="David" w:hAnsi="David" w:cs="David"/>
          <w:b w:val="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firstLine="480"/>
        <w:jc w:val="both"/>
      </w:pPr>
      <w:r>
        <w:rPr>
          <w:rFonts w:ascii="David" w:hAnsi="David" w:cs="David"/>
          <w:b w:val="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spacing w:line="360" w:lineRule="auto" w:before="280" w:after="160"/>
        <w:jc w:val="right"/>
      </w:pPr>
      <w:r>
        <w:rPr>
          <w:rFonts w:ascii="David" w:hAnsi="David" w:cs="David"/>
          <w:b/>
          <w:sz w:val="26"/>
          <w:szCs w:val="26"/>
          <w:rtl w:val="1"/>
        </w:rPr>
        <w:t>2.4 מערכת החינוך כזירה של אינטרסים מתנגשים</w:t>
      </w:r>
    </w:p>
    <w:p>
      <w:pPr>
        <w:bidi w:val="1"/>
        <w:spacing w:line="360" w:lineRule="auto" w:before="0" w:after="120"/>
        <w:ind w:firstLine="480"/>
        <w:jc w:val="both"/>
      </w:pPr>
      <w:r>
        <w:rPr>
          <w:rFonts w:ascii="David" w:hAnsi="David" w:cs="David"/>
          <w:b w:val="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firstLine="480"/>
        <w:jc w:val="both"/>
      </w:pPr>
      <w:r>
        <w:rPr>
          <w:rFonts w:ascii="David" w:hAnsi="David" w:cs="David"/>
          <w:b w:val="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firstLine="480"/>
        <w:jc w:val="both"/>
      </w:pPr>
      <w:r>
        <w:rPr>
          <w:rFonts w:ascii="David" w:hAnsi="David" w:cs="David"/>
          <w:b w:val="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spacing w:line="360" w:lineRule="auto" w:before="280" w:after="160"/>
        <w:jc w:val="right"/>
      </w:pPr>
      <w:r>
        <w:rPr>
          <w:rFonts w:ascii="David" w:hAnsi="David" w:cs="David"/>
          <w:b/>
          <w:sz w:val="26"/>
          <w:szCs w:val="26"/>
          <w:rtl w:val="1"/>
        </w:rPr>
        <w:t>2.5 תפיסות אנשי חינוך לגבי צדק והתנהלות הוגנת</w:t>
      </w:r>
    </w:p>
    <w:p>
      <w:pPr>
        <w:bidi w:val="1"/>
        <w:spacing w:line="360" w:lineRule="auto" w:before="0" w:after="120"/>
        <w:ind w:firstLine="480"/>
        <w:jc w:val="both"/>
      </w:pPr>
      <w:r>
        <w:rPr>
          <w:rFonts w:ascii="David" w:hAnsi="David" w:cs="David"/>
          <w:b w:val="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firstLine="480"/>
        <w:jc w:val="both"/>
      </w:pPr>
      <w:r>
        <w:rPr>
          <w:rFonts w:ascii="David" w:hAnsi="David" w:cs="David"/>
          <w:b w:val="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firstLine="480"/>
        <w:jc w:val="both"/>
      </w:pPr>
      <w:r>
        <w:rPr>
          <w:rFonts w:ascii="David" w:hAnsi="David" w:cs="David"/>
          <w:b w:val="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firstLine="480"/>
        <w:jc w:val="both"/>
      </w:pPr>
      <w:r>
        <w:rPr>
          <w:rFonts w:ascii="David" w:hAnsi="David" w:cs="David"/>
          <w:b w:val="0"/>
          <w:sz w:val="24"/>
          <w:szCs w:val="24"/>
          <w:rtl w:val="1"/>
        </w:rPr>
        <w:t>במקביל, מנהיגות לצדק חברתי במוסדות חינוך נתפסת כיכולת לזהות חסמים תרבותיים ומבניים, ולהפוך את המוסד למרחב שבו מוענקת תחושת שייכות וצדק לכלל הילדים, ללא קשר לרקע הסוציו-אקונומי שלהם. מנהיגות אפקטיבית כזו דורשת תכונות אישיות של חמלה וצניעות, לצד נכונות לנקוט אסטרטגיות יצירתיות להסרת חסמים עבור ילדים מוחלשים. תפיסות אלה, שנחקרו בעיקר בהקשר של מנהלים ומורים, טרם נבחנו דיין בהקשר הייחודי של הגננת.</w:t>
      </w:r>
    </w:p>
    <w:p>
      <w:pPr>
        <w:bidi w:val="1"/>
        <w:spacing w:line="360" w:lineRule="auto" w:before="280" w:after="160"/>
        <w:jc w:val="right"/>
      </w:pPr>
      <w:r>
        <w:rPr>
          <w:rFonts w:ascii="David" w:hAnsi="David" w:cs="David"/>
          <w:b/>
          <w:sz w:val="26"/>
          <w:szCs w:val="26"/>
          <w:rtl w:val="1"/>
        </w:rPr>
        <w:t>2.6 צדק, הוגנות והתפתחות תחושת הצדק בגיל הרך</w:t>
      </w:r>
    </w:p>
    <w:p>
      <w:pPr>
        <w:bidi w:val="1"/>
        <w:spacing w:line="360" w:lineRule="auto" w:before="0" w:after="120"/>
        <w:ind w:firstLine="480"/>
        <w:jc w:val="both"/>
      </w:pPr>
      <w:r>
        <w:rPr>
          <w:rFonts w:ascii="David" w:hAnsi="David" w:cs="David"/>
          <w:b w:val="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firstLine="480"/>
        <w:jc w:val="both"/>
      </w:pPr>
      <w:r>
        <w:rPr>
          <w:rFonts w:ascii="David" w:hAnsi="David" w:cs="David"/>
          <w:b w:val="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firstLine="480"/>
        <w:jc w:val="both"/>
      </w:pPr>
      <w:r>
        <w:rPr>
          <w:rFonts w:ascii="David" w:hAnsi="David" w:cs="David"/>
          <w:b w:val="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firstLine="480"/>
        <w:jc w:val="both"/>
      </w:pPr>
      <w:r>
        <w:rPr>
          <w:rFonts w:ascii="David" w:hAnsi="David" w:cs="David"/>
          <w:b w:val="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firstLine="480"/>
        <w:jc w:val="both"/>
      </w:pPr>
      <w:r>
        <w:rPr>
          <w:rFonts w:ascii="David" w:hAnsi="David" w:cs="David"/>
          <w:b w:val="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firstLine="480"/>
        <w:jc w:val="both"/>
      </w:pPr>
      <w:r>
        <w:rPr>
          <w:rFonts w:ascii="David" w:hAnsi="David" w:cs="David"/>
          <w:b w:val="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before="280" w:after="160"/>
        <w:jc w:val="right"/>
      </w:pPr>
      <w:r>
        <w:rPr>
          <w:rFonts w:ascii="David" w:hAnsi="David" w:cs="David"/>
          <w:b/>
          <w:sz w:val="26"/>
          <w:szCs w:val="26"/>
          <w:rtl w:val="1"/>
        </w:rPr>
        <w:t>2.7 הגננת כסוכנת הצדק הראשונה: פער מחקרי</w:t>
      </w:r>
    </w:p>
    <w:p>
      <w:pPr>
        <w:bidi w:val="1"/>
        <w:spacing w:line="360" w:lineRule="auto" w:before="0" w:after="120"/>
        <w:ind w:firstLine="480"/>
        <w:jc w:val="both"/>
      </w:pPr>
      <w:r>
        <w:rPr>
          <w:rFonts w:ascii="David" w:hAnsi="David" w:cs="David"/>
          <w:b w:val="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firstLine="480"/>
        <w:jc w:val="both"/>
      </w:pPr>
      <w:r>
        <w:rPr>
          <w:rFonts w:ascii="David" w:hAnsi="David" w:cs="David"/>
          <w:b w:val="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firstLine="480"/>
        <w:jc w:val="both"/>
      </w:pPr>
      <w:r>
        <w:rPr>
          <w:rFonts w:ascii="David" w:hAnsi="David" w:cs="David"/>
          <w:b w:val="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r>
        <w:br w:type="page"/>
      </w:r>
    </w:p>
    <w:p>
      <w:pPr>
        <w:bidi w:val="1"/>
        <w:spacing w:line="360" w:lineRule="auto" w:before="280" w:after="160"/>
        <w:jc w:val="right"/>
      </w:pPr>
      <w:r>
        <w:rPr>
          <w:rFonts w:ascii="David" w:hAnsi="David" w:cs="David"/>
          <w:b/>
          <w:sz w:val="30"/>
          <w:szCs w:val="30"/>
          <w:rtl w:val="1"/>
        </w:rPr>
        <w:t>3. שאלת המחקר</w:t>
      </w:r>
    </w:p>
    <w:p>
      <w:pPr>
        <w:bidi w:val="1"/>
        <w:spacing w:line="360" w:lineRule="auto" w:before="0" w:after="120"/>
        <w:jc w:val="both"/>
      </w:pPr>
      <w:r>
        <w:rPr>
          <w:rFonts w:ascii="David" w:hAnsi="David" w:cs="David"/>
          <w:b/>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sz w:val="24"/>
          <w:szCs w:val="24"/>
          <w:rtl w:val="1"/>
        </w:rPr>
        <w:t>שאלות משנה:</w:t>
      </w:r>
    </w:p>
    <w:p>
      <w:pPr>
        <w:bidi w:val="1"/>
        <w:spacing w:line="360" w:lineRule="auto" w:before="0" w:after="120"/>
        <w:jc w:val="both"/>
      </w:pPr>
      <w:r>
        <w:rPr>
          <w:rFonts w:ascii="David" w:hAnsi="David" w:cs="David"/>
          <w:b w:val="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sz w:val="24"/>
          <w:szCs w:val="24"/>
          <w:rtl w:val="1"/>
        </w:rPr>
        <w:t>• כיצד תופסות גננות את תפקידן כסוכנות של צדק, שוויון וצמצום פערים חברתיים-כלכליים בגן?</w:t>
      </w:r>
    </w:p>
    <w:p>
      <w:r>
        <w:br w:type="page"/>
      </w:r>
    </w:p>
    <w:p>
      <w:pPr>
        <w:bidi w:val="1"/>
        <w:spacing w:line="360" w:lineRule="auto" w:before="280" w:after="160"/>
        <w:jc w:val="right"/>
      </w:pPr>
      <w:r>
        <w:rPr>
          <w:rFonts w:ascii="David" w:hAnsi="David" w:cs="David"/>
          <w:b/>
          <w:sz w:val="30"/>
          <w:szCs w:val="30"/>
          <w:rtl w:val="1"/>
        </w:rPr>
        <w:t>4. מתודולוגיה</w:t>
      </w:r>
    </w:p>
    <w:p>
      <w:pPr>
        <w:bidi w:val="1"/>
        <w:spacing w:line="360" w:lineRule="auto" w:before="280" w:after="160"/>
        <w:jc w:val="right"/>
      </w:pPr>
      <w:r>
        <w:rPr>
          <w:rFonts w:ascii="David" w:hAnsi="David" w:cs="David"/>
          <w:b/>
          <w:sz w:val="26"/>
          <w:szCs w:val="26"/>
          <w:rtl w:val="1"/>
        </w:rPr>
        <w:t>4.1 שיטת המחקר</w:t>
      </w:r>
    </w:p>
    <w:p>
      <w:pPr>
        <w:bidi w:val="1"/>
        <w:spacing w:line="360" w:lineRule="auto" w:before="0" w:after="120"/>
        <w:ind w:firstLine="480"/>
        <w:jc w:val="both"/>
      </w:pPr>
      <w:r>
        <w:rPr>
          <w:rFonts w:ascii="David" w:hAnsi="David" w:cs="David"/>
          <w:b w:val="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firstLine="480"/>
        <w:jc w:val="both"/>
      </w:pPr>
      <w:r>
        <w:rPr>
          <w:rFonts w:ascii="David" w:hAnsi="David" w:cs="David"/>
          <w:b w:val="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spacing w:line="360" w:lineRule="auto" w:before="280" w:after="160"/>
        <w:jc w:val="right"/>
      </w:pPr>
      <w:r>
        <w:rPr>
          <w:rFonts w:ascii="David" w:hAnsi="David" w:cs="David"/>
          <w:b/>
          <w:sz w:val="26"/>
          <w:szCs w:val="26"/>
          <w:rtl w:val="1"/>
        </w:rPr>
        <w:t>4.2 שדה המחקר</w:t>
      </w:r>
    </w:p>
    <w:p>
      <w:pPr>
        <w:bidi w:val="1"/>
        <w:spacing w:line="360" w:lineRule="auto" w:before="0" w:after="120"/>
        <w:ind w:firstLine="480"/>
        <w:jc w:val="both"/>
      </w:pPr>
      <w:r>
        <w:rPr>
          <w:rFonts w:ascii="David" w:hAnsi="David" w:cs="David"/>
          <w:b w:val="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spacing w:line="360" w:lineRule="auto" w:before="280" w:after="160"/>
        <w:jc w:val="right"/>
      </w:pPr>
      <w:r>
        <w:rPr>
          <w:rFonts w:ascii="David" w:hAnsi="David" w:cs="David"/>
          <w:b/>
          <w:sz w:val="26"/>
          <w:szCs w:val="26"/>
          <w:rtl w:val="1"/>
        </w:rPr>
        <w:t>4.3 אוכלוסיית המחקר</w:t>
      </w:r>
    </w:p>
    <w:p>
      <w:pPr>
        <w:bidi w:val="1"/>
        <w:spacing w:line="360" w:lineRule="auto" w:before="0" w:after="120"/>
        <w:ind w:firstLine="480"/>
        <w:jc w:val="both"/>
      </w:pPr>
      <w:r>
        <w:rPr>
          <w:rFonts w:ascii="David" w:hAnsi="David" w:cs="David"/>
          <w:b w:val="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szCs w:val="24"/>
                <w:rtl w:val="1"/>
              </w:rPr>
            </w:r>
            <w:r>
              <w:rPr>
                <w:rFonts w:ascii="David" w:hAnsi="David" w:cs="David"/>
                <w:b/>
                <w:sz w:val="24"/>
                <w:szCs w:val="24"/>
                <w:rtl w:val="1"/>
              </w:rPr>
              <w:t>סוג הגן / גיל</w:t>
            </w:r>
          </w:p>
        </w:tc>
        <w:tc>
          <w:tcPr>
            <w:tcW w:type="dxa" w:w="1560"/>
          </w:tcPr>
          <w:p>
            <w:pPr>
              <w:bidi w:val="1"/>
              <w:jc w:val="center"/>
            </w:pPr>
            <w:r>
              <w:rPr>
                <w:rFonts w:ascii="David" w:hAnsi="David" w:cs="David"/>
                <w:szCs w:val="24"/>
                <w:rtl w:val="1"/>
              </w:rPr>
            </w:r>
            <w:r>
              <w:rPr>
                <w:rFonts w:ascii="David" w:hAnsi="David" w:cs="David"/>
                <w:b/>
                <w:sz w:val="24"/>
                <w:szCs w:val="24"/>
                <w:rtl w:val="1"/>
              </w:rPr>
              <w:t>מגזר</w:t>
            </w:r>
          </w:p>
        </w:tc>
        <w:tc>
          <w:tcPr>
            <w:tcW w:type="dxa" w:w="1560"/>
          </w:tcPr>
          <w:p>
            <w:pPr>
              <w:bidi w:val="1"/>
              <w:jc w:val="center"/>
            </w:pPr>
            <w:r>
              <w:rPr>
                <w:rFonts w:ascii="David" w:hAnsi="David" w:cs="David"/>
                <w:szCs w:val="24"/>
                <w:rtl w:val="1"/>
              </w:rPr>
            </w:r>
            <w:r>
              <w:rPr>
                <w:rFonts w:ascii="David" w:hAnsi="David" w:cs="David"/>
                <w:b/>
                <w:sz w:val="24"/>
                <w:szCs w:val="24"/>
                <w:rtl w:val="1"/>
              </w:rPr>
              <w:t>תפקידים נוספים</w:t>
            </w:r>
          </w:p>
        </w:tc>
        <w:tc>
          <w:tcPr>
            <w:tcW w:type="dxa" w:w="1560"/>
          </w:tcPr>
          <w:p>
            <w:pPr>
              <w:bidi w:val="1"/>
              <w:jc w:val="center"/>
            </w:pPr>
            <w:r>
              <w:rPr>
                <w:rFonts w:ascii="David" w:hAnsi="David" w:cs="David"/>
                <w:szCs w:val="24"/>
                <w:rtl w:val="1"/>
              </w:rPr>
            </w:r>
            <w:r>
              <w:rPr>
                <w:rFonts w:ascii="David" w:hAnsi="David" w:cs="David"/>
                <w:b/>
                <w:sz w:val="24"/>
                <w:szCs w:val="24"/>
                <w:rtl w:val="1"/>
              </w:rPr>
              <w:t>ותק</w:t>
            </w:r>
          </w:p>
        </w:tc>
        <w:tc>
          <w:tcPr>
            <w:tcW w:type="dxa" w:w="1560"/>
          </w:tcPr>
          <w:p>
            <w:pPr>
              <w:bidi w:val="1"/>
              <w:jc w:val="center"/>
            </w:pPr>
            <w:r>
              <w:rPr>
                <w:rFonts w:ascii="David" w:hAnsi="David" w:cs="David"/>
                <w:szCs w:val="24"/>
                <w:rtl w:val="1"/>
              </w:rPr>
            </w:r>
            <w:r>
              <w:rPr>
                <w:rFonts w:ascii="David" w:hAnsi="David" w:cs="David"/>
                <w:b/>
                <w:sz w:val="24"/>
                <w:szCs w:val="24"/>
                <w:rtl w:val="1"/>
              </w:rPr>
              <w:t>גיל</w:t>
            </w:r>
          </w:p>
        </w:tc>
        <w:tc>
          <w:tcPr>
            <w:tcW w:type="dxa" w:w="1560"/>
          </w:tcPr>
          <w:p>
            <w:pPr>
              <w:bidi w:val="1"/>
              <w:jc w:val="center"/>
            </w:pPr>
            <w:r>
              <w:rPr>
                <w:rFonts w:ascii="David" w:hAnsi="David" w:cs="David"/>
                <w:szCs w:val="24"/>
                <w:rtl w:val="1"/>
              </w:rPr>
            </w:r>
            <w:r>
              <w:rPr>
                <w:rFonts w:ascii="David" w:hAnsi="David" w:cs="David"/>
                <w:b/>
                <w:sz w:val="24"/>
                <w:szCs w:val="24"/>
                <w:rtl w:val="1"/>
              </w:rPr>
              <w:t>שם בדוי</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טרום-חובה עירוני, שכונה מעורבת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רכזת הכלה בגן</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16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43</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שירה כהן</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שכונה ותיקה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מסורתי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חונכת גננות מתחילות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28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58</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רבקה לוי</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טרום-חובה עירוני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אין (גננת צעירה)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5 שנים</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29</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יעל אברהם</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יישוב מעורב</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מדריכה במתי"א</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22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49</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תמר פרידמן</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עירוני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מנחה בתכנית רגשית-חברתית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14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41</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נעמה בן-דוד</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בשכונה מוחלשת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מסורתי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אין (בחירה להישאר בשטח)</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24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52</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אסתר מזרחי</w:t>
            </w:r>
          </w:p>
        </w:tc>
      </w:tr>
    </w:tbl>
    <w:p>
      <w:pPr>
        <w:bidi w:val="1"/>
        <w:spacing w:line="360" w:lineRule="auto" w:before="280" w:after="160"/>
        <w:jc w:val="right"/>
      </w:pPr>
      <w:r>
        <w:rPr>
          <w:rFonts w:ascii="David" w:hAnsi="David" w:cs="David"/>
          <w:b/>
          <w:sz w:val="26"/>
          <w:szCs w:val="26"/>
          <w:rtl w:val="1"/>
        </w:rPr>
        <w:t>4.4 המדגם</w:t>
      </w:r>
    </w:p>
    <w:p>
      <w:pPr>
        <w:bidi w:val="1"/>
        <w:spacing w:line="360" w:lineRule="auto" w:before="0" w:after="120"/>
        <w:ind w:firstLine="480"/>
        <w:jc w:val="both"/>
      </w:pPr>
      <w:r>
        <w:rPr>
          <w:rFonts w:ascii="David" w:hAnsi="David" w:cs="David"/>
          <w:b w:val="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spacing w:line="360" w:lineRule="auto" w:before="280" w:after="160"/>
        <w:jc w:val="right"/>
      </w:pPr>
      <w:r>
        <w:rPr>
          <w:rFonts w:ascii="David" w:hAnsi="David" w:cs="David"/>
          <w:b/>
          <w:sz w:val="26"/>
          <w:szCs w:val="26"/>
          <w:rtl w:val="1"/>
        </w:rPr>
        <w:t>4.5 כלי המחקר</w:t>
      </w:r>
    </w:p>
    <w:p>
      <w:pPr>
        <w:bidi w:val="1"/>
        <w:spacing w:line="360" w:lineRule="auto" w:before="0" w:after="120"/>
        <w:ind w:firstLine="480"/>
        <w:jc w:val="both"/>
      </w:pPr>
      <w:r>
        <w:rPr>
          <w:rFonts w:ascii="David" w:hAnsi="David" w:cs="David"/>
          <w:b w:val="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spacing w:line="360" w:lineRule="auto" w:before="280" w:after="160"/>
        <w:jc w:val="right"/>
      </w:pPr>
      <w:r>
        <w:rPr>
          <w:rFonts w:ascii="David" w:hAnsi="David" w:cs="David"/>
          <w:b/>
          <w:sz w:val="26"/>
          <w:szCs w:val="26"/>
          <w:rtl w:val="1"/>
        </w:rPr>
        <w:t>4.6 הליך המחקר</w:t>
      </w:r>
    </w:p>
    <w:p>
      <w:pPr>
        <w:bidi w:val="1"/>
        <w:spacing w:line="360" w:lineRule="auto" w:before="0" w:after="120"/>
        <w:ind w:firstLine="480"/>
        <w:jc w:val="both"/>
      </w:pPr>
      <w:r>
        <w:rPr>
          <w:rFonts w:ascii="David" w:hAnsi="David" w:cs="David"/>
          <w:b w:val="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spacing w:line="360" w:lineRule="auto" w:before="280" w:after="160"/>
        <w:jc w:val="right"/>
      </w:pPr>
      <w:r>
        <w:rPr>
          <w:rFonts w:ascii="David" w:hAnsi="David" w:cs="David"/>
          <w:b/>
          <w:sz w:val="26"/>
          <w:szCs w:val="26"/>
          <w:rtl w:val="1"/>
        </w:rPr>
        <w:t>4.7 שיטת ניתוח הנתונים</w:t>
      </w:r>
    </w:p>
    <w:p>
      <w:pPr>
        <w:bidi w:val="1"/>
        <w:spacing w:line="360" w:lineRule="auto" w:before="0" w:after="120"/>
        <w:ind w:firstLine="480"/>
        <w:jc w:val="both"/>
      </w:pPr>
      <w:r>
        <w:rPr>
          <w:rFonts w:ascii="David" w:hAnsi="David" w:cs="David"/>
          <w:b w:val="0"/>
          <w:sz w:val="24"/>
          <w:szCs w:val="24"/>
          <w:rtl w:val="1"/>
        </w:rPr>
        <w:t>ניתוח הנתונים נערך על-פי עקרונות התיאוריה המעוגנת בשדה (Grounded Theory).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firstLine="480"/>
        <w:jc w:val="both"/>
      </w:pPr>
      <w:r>
        <w:rPr>
          <w:rFonts w:ascii="David" w:hAnsi="David" w:cs="David"/>
          <w:b w:val="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spacing w:line="360" w:lineRule="auto" w:before="280" w:after="160"/>
        <w:jc w:val="right"/>
      </w:pPr>
      <w:r>
        <w:rPr>
          <w:rFonts w:ascii="David" w:hAnsi="David" w:cs="David"/>
          <w:b/>
          <w:sz w:val="26"/>
          <w:szCs w:val="26"/>
          <w:rtl w:val="1"/>
        </w:rPr>
        <w:t>4.8 אמינות</w:t>
      </w:r>
    </w:p>
    <w:p>
      <w:pPr>
        <w:bidi w:val="1"/>
        <w:spacing w:line="360" w:lineRule="auto" w:before="0" w:after="120"/>
        <w:ind w:firstLine="480"/>
        <w:jc w:val="both"/>
      </w:pPr>
      <w:r>
        <w:rPr>
          <w:rFonts w:ascii="David" w:hAnsi="David" w:cs="David"/>
          <w:b w:val="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spacing w:line="360" w:lineRule="auto" w:before="280" w:after="160"/>
        <w:jc w:val="right"/>
      </w:pPr>
      <w:r>
        <w:rPr>
          <w:rFonts w:ascii="David" w:hAnsi="David" w:cs="David"/>
          <w:b/>
          <w:sz w:val="26"/>
          <w:szCs w:val="26"/>
          <w:rtl w:val="1"/>
        </w:rPr>
        <w:t>4.9 אתיקה</w:t>
      </w:r>
    </w:p>
    <w:p>
      <w:pPr>
        <w:bidi w:val="1"/>
        <w:spacing w:line="360" w:lineRule="auto" w:before="0" w:after="120"/>
        <w:ind w:firstLine="480"/>
        <w:jc w:val="both"/>
      </w:pPr>
      <w:r>
        <w:rPr>
          <w:rFonts w:ascii="David" w:hAnsi="David" w:cs="David"/>
          <w:b w:val="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bidi w:val="1"/>
        <w:spacing w:line="360" w:lineRule="auto" w:before="280" w:after="160"/>
        <w:jc w:val="right"/>
      </w:pPr>
      <w:r>
        <w:rPr>
          <w:rFonts w:ascii="David" w:hAnsi="David" w:cs="David"/>
          <w:b/>
          <w:sz w:val="26"/>
          <w:szCs w:val="26"/>
          <w:rtl w:val="1"/>
        </w:rPr>
        <w:t>4.10 מגבלות המחקר</w:t>
      </w:r>
    </w:p>
    <w:p>
      <w:pPr>
        <w:bidi w:val="1"/>
        <w:spacing w:line="360" w:lineRule="auto" w:before="0" w:after="120"/>
        <w:ind w:firstLine="480"/>
        <w:jc w:val="both"/>
      </w:pPr>
      <w:r>
        <w:rPr>
          <w:rFonts w:ascii="David" w:hAnsi="David" w:cs="David"/>
          <w:b w:val="0"/>
          <w:sz w:val="24"/>
          <w:szCs w:val="24"/>
          <w:rtl w:val="1"/>
        </w:rPr>
        <w:t>למחקר זה מספר מגבלות. ראשית, המדגם קטן (שש גננות) וכולל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w:t>
      </w:r>
    </w:p>
    <w:p>
      <w:r>
        <w:br w:type="page"/>
      </w:r>
    </w:p>
    <w:p>
      <w:pPr>
        <w:bidi w:val="1"/>
        <w:spacing w:line="360" w:lineRule="auto" w:before="280" w:after="160"/>
        <w:jc w:val="right"/>
      </w:pPr>
      <w:r>
        <w:rPr>
          <w:rFonts w:ascii="David" w:hAnsi="David" w:cs="David"/>
          <w:b/>
          <w:sz w:val="30"/>
          <w:szCs w:val="30"/>
          <w:rtl w:val="1"/>
        </w:rPr>
        <w:t>5. פרק הממצאים</w:t>
      </w:r>
    </w:p>
    <w:p>
      <w:pPr>
        <w:bidi w:val="1"/>
        <w:spacing w:line="360" w:lineRule="auto" w:before="0" w:after="120"/>
        <w:ind w:firstLine="480"/>
        <w:jc w:val="both"/>
      </w:pPr>
      <w:r>
        <w:rPr>
          <w:rFonts w:ascii="David" w:hAnsi="David" w:cs="David"/>
          <w:b w:val="0"/>
          <w:sz w:val="24"/>
          <w:szCs w:val="24"/>
          <w:rtl w:val="1"/>
        </w:rPr>
        <w:t>במסגרת המחקר רואיינו שש גננות בנוגע לתפיסתן את ההתנהלות הצודקת וההוגנת בגן. מניתוח הראיונות עלו שש קטגוריות גרעין מרכזיות, המספקות מענה לשאלת המחקר: (1) תפיסת המונח "צדק בגן"; (2) חלוקת משאב תשומת הלב הרגשית; (3) ההבחנה בין חלוקה שווה לחלוקה הוגנת; (4) חלוקת המשאבים הפיזיים והמרחב הקבוצתי; (5) צדק חברתי-כלכלי ומניעת בושה; (6) הגננת כסוכנת צדק וכמחנכת ערכים. להלן יפורטו הקטגוריות, בליווי ציטוטים מדגימים מדברי המרואיינות ועיגון בספרות המחקרית.</w:t>
      </w:r>
    </w:p>
    <w:p>
      <w:pPr>
        <w:bidi w:val="1"/>
        <w:spacing w:line="360" w:lineRule="auto" w:before="280" w:after="160"/>
        <w:jc w:val="right"/>
      </w:pPr>
      <w:r>
        <w:rPr>
          <w:rFonts w:ascii="David" w:hAnsi="David" w:cs="David"/>
          <w:b/>
          <w:sz w:val="26"/>
          <w:szCs w:val="26"/>
          <w:rtl w:val="1"/>
        </w:rPr>
        <w:t>5.1 תפיסת המונח "צדק בגן"</w:t>
      </w:r>
    </w:p>
    <w:p>
      <w:pPr>
        <w:bidi w:val="1"/>
        <w:spacing w:line="360" w:lineRule="auto" w:before="0" w:after="120"/>
        <w:ind w:firstLine="480"/>
        <w:jc w:val="both"/>
      </w:pPr>
      <w:r>
        <w:rPr>
          <w:rFonts w:ascii="David" w:hAnsi="David" w:cs="David"/>
          <w:b w:val="0"/>
          <w:sz w:val="24"/>
          <w:szCs w:val="24"/>
          <w:rtl w:val="1"/>
        </w:rPr>
        <w:t>כל שש המרואיינות נתבקשו לתאר מה עולה בדעתן כשהן שומעות את המונח "צדק בגן". מן התשובות עלו שלוש תפיסות משנה, המשקפות דגשים שונים: צדק כראיית הילד הבודד וכערך מנחה, צדק כשוויון הזדמנויות, וצדק כהקשבה וכניהול מתחים בין צרכים.</w:t>
      </w:r>
    </w:p>
    <w:p>
      <w:pPr>
        <w:bidi w:val="1"/>
        <w:spacing w:line="360" w:lineRule="auto" w:before="280" w:after="160"/>
        <w:jc w:val="right"/>
      </w:pPr>
      <w:r>
        <w:rPr>
          <w:rFonts w:ascii="David" w:hAnsi="David" w:cs="David"/>
          <w:b/>
          <w:sz w:val="24"/>
          <w:szCs w:val="24"/>
          <w:rtl w:val="1"/>
        </w:rPr>
        <w:t>5.1.1 צדק כראיית הילד הבודד וכערך מנחה</w:t>
      </w:r>
    </w:p>
    <w:p>
      <w:pPr>
        <w:bidi w:val="1"/>
        <w:spacing w:line="360" w:lineRule="auto" w:before="0" w:after="120"/>
        <w:ind w:firstLine="480"/>
        <w:jc w:val="both"/>
      </w:pPr>
      <w:r>
        <w:rPr>
          <w:rFonts w:ascii="David" w:hAnsi="David" w:cs="David"/>
          <w:b w:val="0"/>
          <w:sz w:val="24"/>
          <w:szCs w:val="24"/>
          <w:rtl w:val="1"/>
        </w:rPr>
        <w:t>מרואיינות אחדות תיארו את הצדק בגן כערך מנחה שעניינו ראיית הילד הספציפי ומתן מענה למה שהוא צריך, גם כאשר משמעות הדבר חלוקה שאינה זהה. שירה, שהגיעה מעולם העבודה הסוציאלית, ניסחה זאת:</w:t>
      </w:r>
    </w:p>
    <w:p>
      <w:pPr>
        <w:bidi w:val="1"/>
        <w:spacing w:line="360" w:lineRule="auto" w:before="80" w:after="160"/>
        <w:ind w:right="600" w:left="600"/>
        <w:jc w:val="both"/>
      </w:pPr>
      <w:r>
        <w:rPr>
          <w:rFonts w:ascii="David" w:hAnsi="David" w:cs="David"/>
          <w:i/>
          <w:szCs w:val="24"/>
          <w:rtl w:val="1"/>
        </w:rPr>
        <w:t>"אבל בשבילי צדק זה לא מה שכולם מקבלים, אלא מה שכל ילד צריך. זו המחשבה הראשונה."</w:t>
      </w:r>
      <w:r>
        <w:rPr>
          <w:rFonts w:ascii="David" w:hAnsi="David" w:cs="David"/>
          <w:i/>
          <w:szCs w:val="24"/>
          <w:rtl w:val="1"/>
        </w:rPr>
        <w:t xml:space="preserve">  (שירה)</w:t>
      </w:r>
    </w:p>
    <w:p>
      <w:pPr>
        <w:bidi w:val="1"/>
        <w:spacing w:line="360" w:lineRule="auto" w:before="0" w:after="120"/>
        <w:ind w:firstLine="480"/>
        <w:jc w:val="both"/>
      </w:pPr>
      <w:r>
        <w:rPr>
          <w:rFonts w:ascii="David" w:hAnsi="David" w:cs="David"/>
          <w:b w:val="0"/>
          <w:sz w:val="24"/>
          <w:szCs w:val="24"/>
          <w:rtl w:val="1"/>
        </w:rPr>
        <w:t>תמר הדגישה כי תפיסה זו דורשת עבודה והיכרות מעמיקה, ואינה מסתכמת בחלוקה שווה ופשוטה:</w:t>
      </w:r>
    </w:p>
    <w:p>
      <w:pPr>
        <w:bidi w:val="1"/>
        <w:spacing w:line="360" w:lineRule="auto" w:before="80" w:after="160"/>
        <w:ind w:right="600" w:left="600"/>
        <w:jc w:val="both"/>
      </w:pPr>
      <w:r>
        <w:rPr>
          <w:rFonts w:ascii="David" w:hAnsi="David" w:cs="David"/>
          <w:i/>
          <w:szCs w:val="24"/>
          <w:rtl w:val="1"/>
        </w:rPr>
        <w:t>"המחשבה הראשונה שעולה לי היא שצדק זה לא לחלק שווה בשווה. הרבה אנשים חושבים שצדק זה שכולם מקבלים אותו דבר, אותה כמות, אותו זמן, אותו יחס."</w:t>
      </w:r>
      <w:r>
        <w:rPr>
          <w:rFonts w:ascii="David" w:hAnsi="David" w:cs="David"/>
          <w:i/>
          <w:szCs w:val="24"/>
          <w:rtl w:val="1"/>
        </w:rPr>
        <w:t xml:space="preserve">  (תמר)</w:t>
      </w:r>
    </w:p>
    <w:p>
      <w:pPr>
        <w:bidi w:val="1"/>
        <w:spacing w:line="360" w:lineRule="auto" w:before="0" w:after="120"/>
        <w:ind w:firstLine="480"/>
        <w:jc w:val="both"/>
      </w:pPr>
      <w:r>
        <w:rPr>
          <w:rFonts w:ascii="David" w:hAnsi="David" w:cs="David"/>
          <w:b w:val="0"/>
          <w:sz w:val="24"/>
          <w:szCs w:val="24"/>
          <w:rtl w:val="1"/>
        </w:rPr>
        <w:t>תפיסה זו עולה בקנה אחד עם עיקרון הצורך בגישה הרב-ממדית לצדק חלוקתי, הקורא לחלוקה דיפרנציאלית המתעדפת את מי שזקוקים לתמיכה יתרה (Connell, 1993; סבג וביברמן-שלו, 2014). היא אף מהדהדת את ממצאיהם של לי וחבריה (Lee et al., 2022), שלפיהם הבנה עשירה של הוגנות בגיל הרך חורגת מן השוויון האריתמטי אל ראיית צרכיו של האחר.</w:t>
      </w:r>
    </w:p>
    <w:p>
      <w:pPr>
        <w:bidi w:val="1"/>
        <w:spacing w:line="360" w:lineRule="auto" w:before="280" w:after="160"/>
        <w:jc w:val="right"/>
      </w:pPr>
      <w:r>
        <w:rPr>
          <w:rFonts w:ascii="David" w:hAnsi="David" w:cs="David"/>
          <w:b/>
          <w:sz w:val="24"/>
          <w:szCs w:val="24"/>
          <w:rtl w:val="1"/>
        </w:rPr>
        <w:t>5.1.2 צדק כשוויון הזדמנויות וכצמצום פערים</w:t>
      </w:r>
    </w:p>
    <w:p>
      <w:pPr>
        <w:bidi w:val="1"/>
        <w:spacing w:line="360" w:lineRule="auto" w:before="0" w:after="120"/>
        <w:ind w:firstLine="480"/>
        <w:jc w:val="both"/>
      </w:pPr>
      <w:r>
        <w:rPr>
          <w:rFonts w:ascii="David" w:hAnsi="David" w:cs="David"/>
          <w:b w:val="0"/>
          <w:sz w:val="24"/>
          <w:szCs w:val="24"/>
          <w:rtl w:val="1"/>
        </w:rPr>
        <w:t>מרואיינות אחרות, ובמיוחד אלה המלמדות באוכלוסיות מוחלשות, הדגישו את ממד שוויון ההזדמנויות, כלומר את החתירה לכך שכל ילד, יהיה רקעו אשר יהיה, יזכה לאותה הזדמנות לממש את הפוטנציאל שלו. אסתר תיארה זאת כשליחות:</w:t>
      </w:r>
    </w:p>
    <w:p>
      <w:pPr>
        <w:bidi w:val="1"/>
        <w:spacing w:line="360" w:lineRule="auto" w:before="80" w:after="160"/>
        <w:ind w:right="600" w:left="600"/>
        <w:jc w:val="both"/>
      </w:pPr>
      <w:r>
        <w:rPr>
          <w:rFonts w:ascii="David" w:hAnsi="David" w:cs="David"/>
          <w:i/>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w:t>
      </w:r>
      <w:r>
        <w:rPr>
          <w:rFonts w:ascii="David" w:hAnsi="David" w:cs="David"/>
          <w:i/>
          <w:szCs w:val="24"/>
          <w:rtl w:val="1"/>
        </w:rPr>
        <w:t xml:space="preserve">  (אסתר)</w:t>
      </w:r>
    </w:p>
    <w:p>
      <w:pPr>
        <w:bidi w:val="1"/>
        <w:spacing w:line="360" w:lineRule="auto" w:before="0" w:after="120"/>
        <w:ind w:firstLine="480"/>
        <w:jc w:val="both"/>
      </w:pPr>
      <w:r>
        <w:rPr>
          <w:rFonts w:ascii="David" w:hAnsi="David" w:cs="David"/>
          <w:b w:val="0"/>
          <w:sz w:val="24"/>
          <w:szCs w:val="24"/>
          <w:rtl w:val="1"/>
        </w:rPr>
        <w:t>תפיסה זו תואמת את ההמשגה של שוויון ההזדמנויות כשווה-ערך לצדק החברתי בחינוך, בייחוד בגישתו המהותית, המבקשת להתחשב בנקודת הפתיחה השונה של הילד ולפעול לצמצום פערים מובְנים (דהאן, 2010; אדלר ובלס, 2009).</w:t>
      </w:r>
    </w:p>
    <w:p>
      <w:pPr>
        <w:bidi w:val="1"/>
        <w:spacing w:line="360" w:lineRule="auto" w:before="280" w:after="160"/>
        <w:jc w:val="right"/>
      </w:pPr>
      <w:r>
        <w:rPr>
          <w:rFonts w:ascii="David" w:hAnsi="David" w:cs="David"/>
          <w:b/>
          <w:sz w:val="24"/>
          <w:szCs w:val="24"/>
          <w:rtl w:val="1"/>
        </w:rPr>
        <w:t>5.1.3 צדק כהקשבה וכניהול מתחים</w:t>
      </w:r>
    </w:p>
    <w:p>
      <w:pPr>
        <w:bidi w:val="1"/>
        <w:spacing w:line="360" w:lineRule="auto" w:before="0" w:after="120"/>
        <w:ind w:firstLine="480"/>
        <w:jc w:val="both"/>
      </w:pPr>
      <w:r>
        <w:rPr>
          <w:rFonts w:ascii="David" w:hAnsi="David" w:cs="David"/>
          <w:b w:val="0"/>
          <w:sz w:val="24"/>
          <w:szCs w:val="24"/>
          <w:rtl w:val="1"/>
        </w:rPr>
        <w:t>נעמה, שעולמה המקצועי רגשי, הציגה תפיסה ייחודית שלפיה הצדק אינו תשובה מוכנה אלא תהליך של הקשבה וניהול מתחים בין צרכים מתנגשים:</w:t>
      </w:r>
    </w:p>
    <w:p>
      <w:pPr>
        <w:bidi w:val="1"/>
        <w:spacing w:line="360" w:lineRule="auto" w:before="80" w:after="160"/>
        <w:ind w:right="600" w:left="600"/>
        <w:jc w:val="both"/>
      </w:pPr>
      <w:r>
        <w:rPr>
          <w:rFonts w:ascii="David" w:hAnsi="David" w:cs="David"/>
          <w:i/>
          <w:szCs w:val="24"/>
          <w:rtl w:val="1"/>
        </w:rPr>
        <w:t>"האמת שכשאני שומעת את המילה צדק, הדבר הראשון שעולה לי הוא שאלה, צדק של מי. כי אני לא מאמינה שיש צדק אחד אובייקטיבי שאפשר להוריד על הגן מלמעלה."</w:t>
      </w:r>
      <w:r>
        <w:rPr>
          <w:rFonts w:ascii="David" w:hAnsi="David" w:cs="David"/>
          <w:i/>
          <w:szCs w:val="24"/>
          <w:rtl w:val="1"/>
        </w:rPr>
        <w:t xml:space="preserve">  (נעמה)</w:t>
      </w:r>
    </w:p>
    <w:p>
      <w:pPr>
        <w:bidi w:val="1"/>
        <w:spacing w:line="360" w:lineRule="auto" w:before="0" w:after="120"/>
        <w:ind w:firstLine="480"/>
        <w:jc w:val="both"/>
      </w:pPr>
      <w:r>
        <w:rPr>
          <w:rFonts w:ascii="David" w:hAnsi="David" w:cs="David"/>
          <w:b w:val="0"/>
          <w:sz w:val="24"/>
          <w:szCs w:val="24"/>
          <w:rtl w:val="1"/>
        </w:rPr>
        <w:t>תפיסה זו מתכתבת עם מושג הצדק האינטראקציוני והפרוצדורלי, המדגיש כי לא רק תוצאת החלוקה חשובה, אלא בעיקר איכות היחס וההליך: מתן כבוד, הגינות ותחושה של הכרה והקשבה (Horan, Chory &amp; Goodboy, 2010; Jiang et al., 2018).</w:t>
      </w:r>
    </w:p>
    <w:p>
      <w:pPr>
        <w:bidi w:val="1"/>
        <w:spacing w:line="360" w:lineRule="auto" w:before="280" w:after="160"/>
        <w:jc w:val="right"/>
      </w:pPr>
      <w:r>
        <w:rPr>
          <w:rFonts w:ascii="David" w:hAnsi="David" w:cs="David"/>
          <w:b/>
          <w:sz w:val="26"/>
          <w:szCs w:val="26"/>
          <w:rtl w:val="1"/>
        </w:rPr>
        <w:t>5.2 חלוקת משאב תשומת הלב הרגשית</w:t>
      </w:r>
    </w:p>
    <w:p>
      <w:pPr>
        <w:bidi w:val="1"/>
        <w:spacing w:line="360" w:lineRule="auto" w:before="0" w:after="120"/>
        <w:ind w:firstLine="480"/>
        <w:jc w:val="both"/>
      </w:pPr>
      <w:r>
        <w:rPr>
          <w:rFonts w:ascii="David" w:hAnsi="David" w:cs="David"/>
          <w:b w:val="0"/>
          <w:sz w:val="24"/>
          <w:szCs w:val="24"/>
          <w:rtl w:val="1"/>
        </w:rPr>
        <w:t>כל המרואיינות התייחסו לתשומת הלב הרגשית כאל משאב מרכזי, ואולי המרכזי ביותר, שהן נדרשות לחלק בצדק. מן הראיונות עלו שני עקרונות משלימים: חלוקה לפי צורך, ותשומת לב מיוחדת לילד השקט.</w:t>
      </w:r>
    </w:p>
    <w:p>
      <w:pPr>
        <w:bidi w:val="1"/>
        <w:spacing w:line="360" w:lineRule="auto" w:before="280" w:after="160"/>
        <w:jc w:val="right"/>
      </w:pPr>
      <w:r>
        <w:rPr>
          <w:rFonts w:ascii="David" w:hAnsi="David" w:cs="David"/>
          <w:b/>
          <w:sz w:val="24"/>
          <w:szCs w:val="24"/>
          <w:rtl w:val="1"/>
        </w:rPr>
        <w:t>5.2.1 חלוקה לפי עיקרון הצורך</w:t>
      </w:r>
    </w:p>
    <w:p>
      <w:pPr>
        <w:bidi w:val="1"/>
        <w:spacing w:line="360" w:lineRule="auto" w:before="0" w:after="120"/>
        <w:ind w:firstLine="480"/>
        <w:jc w:val="both"/>
      </w:pPr>
      <w:r>
        <w:rPr>
          <w:rFonts w:ascii="David" w:hAnsi="David" w:cs="David"/>
          <w:b w:val="0"/>
          <w:sz w:val="24"/>
          <w:szCs w:val="24"/>
          <w:rtl w:val="1"/>
        </w:rPr>
        <w:t>רוב המרואיינות תיארו כי הן מעניקות תשומת לב מוגברת לילד שזקוק לה, מתוך הבנה שזוהי הוגנות ולא הפליה. רבקה תיארה אסטרטגיה מגובשת:</w:t>
      </w:r>
    </w:p>
    <w:p>
      <w:pPr>
        <w:bidi w:val="1"/>
        <w:spacing w:line="360" w:lineRule="auto" w:before="80" w:after="160"/>
        <w:ind w:right="600" w:left="600"/>
        <w:jc w:val="both"/>
      </w:pPr>
      <w:r>
        <w:rPr>
          <w:rFonts w:ascii="David" w:hAnsi="David" w:cs="David"/>
          <w:i/>
          <w:szCs w:val="24"/>
          <w:rtl w:val="1"/>
        </w:rPr>
        <w:t>"אלה זמנים שממילא לא באים על חשבון אף אחד. חוץ מזה, השתמשתי במה שאני קוראת לו החברים הגדולים."</w:t>
      </w:r>
      <w:r>
        <w:rPr>
          <w:rFonts w:ascii="David" w:hAnsi="David" w:cs="David"/>
          <w:i/>
          <w:szCs w:val="24"/>
          <w:rtl w:val="1"/>
        </w:rPr>
        <w:t xml:space="preserve">  (רבקה)</w:t>
      </w:r>
    </w:p>
    <w:p>
      <w:pPr>
        <w:bidi w:val="1"/>
        <w:spacing w:line="360" w:lineRule="auto" w:before="0" w:after="120"/>
        <w:ind w:firstLine="480"/>
        <w:jc w:val="both"/>
      </w:pPr>
      <w:r>
        <w:rPr>
          <w:rFonts w:ascii="David" w:hAnsi="David" w:cs="David"/>
          <w:b w:val="0"/>
          <w:sz w:val="24"/>
          <w:szCs w:val="24"/>
          <w:rtl w:val="1"/>
        </w:rPr>
        <w:t>שירה הוסיפה כי היא מגייסת את הקבוצה לשותפות במקום להותיר אותה בתחושת קיפוח, וכי בלי הצוות התומך לא ניתן לתת לילד הבודד את שהוא צריך. תפיסות אלה מבטאות יישום מובהק של עיקרון הצורך בחלוקת המשאב הרך, ומדגימות את המתח בין אינטרס הפרט לטובת הכלל, מתח שהוא חלק בלתי נפרד מן העשייה החינוכית (סבג וביברמן-שלו, 2014).</w:t>
      </w:r>
    </w:p>
    <w:p>
      <w:pPr>
        <w:bidi w:val="1"/>
        <w:spacing w:line="360" w:lineRule="auto" w:before="280" w:after="160"/>
        <w:jc w:val="right"/>
      </w:pPr>
      <w:r>
        <w:rPr>
          <w:rFonts w:ascii="David" w:hAnsi="David" w:cs="David"/>
          <w:b/>
          <w:sz w:val="24"/>
          <w:szCs w:val="24"/>
          <w:rtl w:val="1"/>
        </w:rPr>
        <w:t>5.2.2 הילד השקט: מאבק בעוול הסמוי</w:t>
      </w:r>
    </w:p>
    <w:p>
      <w:pPr>
        <w:bidi w:val="1"/>
        <w:spacing w:line="360" w:lineRule="auto" w:before="0" w:after="120"/>
        <w:ind w:firstLine="480"/>
        <w:jc w:val="both"/>
      </w:pPr>
      <w:r>
        <w:rPr>
          <w:rFonts w:ascii="David" w:hAnsi="David" w:cs="David"/>
          <w:b w:val="0"/>
          <w:sz w:val="24"/>
          <w:szCs w:val="24"/>
          <w:rtl w:val="1"/>
        </w:rPr>
        <w:t>ממצא בולט וחוזר היה המודעות לכך שהילד השקט והנוח הוא זה הנמצא בסיכון הגדול ביותר להיעלם מן הרדאר לטובת הרועש והדורש. יעל, גננת צעירה, תיארה זאת כרגע מכונן שבו תיעדה את חלוקת תשומת הלב שלה:</w:t>
      </w:r>
    </w:p>
    <w:p>
      <w:pPr>
        <w:bidi w:val="1"/>
        <w:spacing w:line="360" w:lineRule="auto" w:before="80" w:after="160"/>
        <w:ind w:right="600" w:left="600"/>
        <w:jc w:val="both"/>
      </w:pPr>
      <w:r>
        <w:rPr>
          <w:rFonts w:ascii="David" w:hAnsi="David" w:cs="David"/>
          <w:i/>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w:t>
      </w:r>
      <w:r>
        <w:rPr>
          <w:rFonts w:ascii="David" w:hAnsi="David" w:cs="David"/>
          <w:i/>
          <w:szCs w:val="24"/>
          <w:rtl w:val="1"/>
        </w:rPr>
        <w:t xml:space="preserve">  (יעל)</w:t>
      </w:r>
    </w:p>
    <w:p>
      <w:pPr>
        <w:bidi w:val="1"/>
        <w:spacing w:line="360" w:lineRule="auto" w:before="0" w:after="120"/>
        <w:ind w:firstLine="480"/>
        <w:jc w:val="both"/>
      </w:pPr>
      <w:r>
        <w:rPr>
          <w:rFonts w:ascii="David" w:hAnsi="David" w:cs="David"/>
          <w:b w:val="0"/>
          <w:sz w:val="24"/>
          <w:szCs w:val="24"/>
          <w:rtl w:val="1"/>
        </w:rPr>
        <w:t>אסתר, המלמדת בגן עתיר צרכים, הדגישה כי דווקא בסביבה שבה הצרכים הגדולים תופסים מקום רב, קל לשקט להיבלע, ולכן היא מחפשת אותו באופן פעיל. מודעות זו ממחישה כי הגננות תופסות את חלוקת תשומת הלב לא כתהליך אינטואיטיבי בלבד אלא כפעולה מכוונת ושיטתית, שכן ההיענות האינטואיטיבית לרועש עלולה כשלעצמה להוליד אי-צדק.</w:t>
      </w:r>
    </w:p>
    <w:p>
      <w:pPr>
        <w:bidi w:val="1"/>
        <w:spacing w:line="360" w:lineRule="auto" w:before="280" w:after="160"/>
        <w:jc w:val="right"/>
      </w:pPr>
      <w:r>
        <w:rPr>
          <w:rFonts w:ascii="David" w:hAnsi="David" w:cs="David"/>
          <w:b/>
          <w:sz w:val="26"/>
          <w:szCs w:val="26"/>
          <w:rtl w:val="1"/>
        </w:rPr>
        <w:t>5.3 ההבחנה בין חלוקה שווה לחלוקה הוגנת</w:t>
      </w:r>
    </w:p>
    <w:p>
      <w:pPr>
        <w:bidi w:val="1"/>
        <w:spacing w:line="360" w:lineRule="auto" w:before="0" w:after="120"/>
        <w:ind w:firstLine="480"/>
        <w:jc w:val="both"/>
      </w:pPr>
      <w:r>
        <w:rPr>
          <w:rFonts w:ascii="David" w:hAnsi="David" w:cs="David"/>
          <w:b w:val="0"/>
          <w:sz w:val="24"/>
          <w:szCs w:val="24"/>
          <w:rtl w:val="1"/>
        </w:rPr>
        <w:t>כל שש המרואיינות הבחינו באופן חד וברור בין חלוקה "שווה" לחלוקה "הוגנת", ותפסו את ההוגנות כעולה על השוויון המכני. ההבחנה הודגמה בדוגמאות קונקרטיות מן הגן. אסתר תיארה דוגמה מזמן הארוחה:</w:t>
      </w:r>
    </w:p>
    <w:p>
      <w:pPr>
        <w:bidi w:val="1"/>
        <w:spacing w:line="360" w:lineRule="auto" w:before="80" w:after="160"/>
        <w:ind w:right="600" w:left="600"/>
        <w:jc w:val="both"/>
      </w:pPr>
      <w:r>
        <w:rPr>
          <w:rFonts w:ascii="David" w:hAnsi="David" w:cs="David"/>
          <w:i/>
          <w:szCs w:val="24"/>
          <w:rtl w:val="1"/>
        </w:rPr>
        <w:t>"אצל הילד הרעב זו אותה שאלה. פרוסה לכולם זה שווה, אבל להביא ליוסי עוד ארוחה בבוקר בלי לספר לאף אחד זה הוגן."</w:t>
      </w:r>
      <w:r>
        <w:rPr>
          <w:rFonts w:ascii="David" w:hAnsi="David" w:cs="David"/>
          <w:i/>
          <w:szCs w:val="24"/>
          <w:rtl w:val="1"/>
        </w:rPr>
        <w:t xml:space="preserve">  (אסתר)</w:t>
      </w:r>
    </w:p>
    <w:p>
      <w:pPr>
        <w:bidi w:val="1"/>
        <w:spacing w:line="360" w:lineRule="auto" w:before="0" w:after="120"/>
        <w:ind w:firstLine="480"/>
        <w:jc w:val="both"/>
      </w:pPr>
      <w:r>
        <w:rPr>
          <w:rFonts w:ascii="David" w:hAnsi="David" w:cs="David"/>
          <w:b w:val="0"/>
          <w:sz w:val="24"/>
          <w:szCs w:val="24"/>
          <w:rtl w:val="1"/>
        </w:rPr>
        <w:t>תמר תיארה כיצד ויתרה על תחרויות ריצה קלאסיות לטובת משחקים שיתופיים, כדי שילד עם קושי מוטורי לא יחווה השפלה, ויעל סיפרה כי היא מלמדת את ההבחנה במפורש באמצעות דימוי חזותי של ילדים בגבהים שונים הזקוקים למספר שונה של ארגזים:</w:t>
      </w:r>
    </w:p>
    <w:p>
      <w:pPr>
        <w:bidi w:val="1"/>
        <w:spacing w:line="360" w:lineRule="auto" w:before="80" w:after="160"/>
        <w:ind w:right="600" w:left="600"/>
        <w:jc w:val="both"/>
      </w:pPr>
      <w:r>
        <w:rPr>
          <w:rFonts w:ascii="David" w:hAnsi="David" w:cs="David"/>
          <w:i/>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w:t>
      </w:r>
      <w:r>
        <w:rPr>
          <w:rFonts w:ascii="David" w:hAnsi="David" w:cs="David"/>
          <w:i/>
          <w:szCs w:val="24"/>
          <w:rtl w:val="1"/>
        </w:rPr>
        <w:t xml:space="preserve">  (יעל)</w:t>
      </w:r>
    </w:p>
    <w:p>
      <w:pPr>
        <w:bidi w:val="1"/>
        <w:spacing w:line="360" w:lineRule="auto" w:before="0" w:after="120"/>
        <w:ind w:firstLine="480"/>
        <w:jc w:val="both"/>
      </w:pPr>
      <w:r>
        <w:rPr>
          <w:rFonts w:ascii="David" w:hAnsi="David" w:cs="David"/>
          <w:b w:val="0"/>
          <w:sz w:val="24"/>
          <w:szCs w:val="24"/>
          <w:rtl w:val="1"/>
        </w:rPr>
        <w:t>ממצא זה הוא לב לבו של המחקר, והוא מבטא באופן מובהק את המעבר מן התפיסה הפורמלית של השוויון אל ההוגנות המהותית, המבוססת על עיקרון הצורך (דהאן, 2010; Connell, 1993). ההבחנה החדה שעורכות כל הגננות מעידה כי בגן, בהיעדר משאב מדיד כמו ציון, ההוגנות מבוססת-הצורך היא עקרון החלוקה הדומיננטי בעיניהן.</w:t>
      </w:r>
    </w:p>
    <w:p>
      <w:pPr>
        <w:bidi w:val="1"/>
        <w:spacing w:line="360" w:lineRule="auto" w:before="280" w:after="160"/>
        <w:jc w:val="right"/>
      </w:pPr>
      <w:r>
        <w:rPr>
          <w:rFonts w:ascii="David" w:hAnsi="David" w:cs="David"/>
          <w:b/>
          <w:sz w:val="26"/>
          <w:szCs w:val="26"/>
          <w:rtl w:val="1"/>
        </w:rPr>
        <w:t>5.4 חלוקת המשאבים הפיזיים והמרחב הקבוצתי</w:t>
      </w:r>
    </w:p>
    <w:p>
      <w:pPr>
        <w:bidi w:val="1"/>
        <w:spacing w:line="360" w:lineRule="auto" w:before="280" w:after="160"/>
        <w:jc w:val="right"/>
      </w:pPr>
      <w:r>
        <w:rPr>
          <w:rFonts w:ascii="David" w:hAnsi="David" w:cs="David"/>
          <w:b/>
          <w:sz w:val="24"/>
          <w:szCs w:val="24"/>
          <w:rtl w:val="1"/>
        </w:rPr>
        <w:t>5.4.1 שקיפות, תור וכללים משותפים</w:t>
      </w:r>
    </w:p>
    <w:p>
      <w:pPr>
        <w:bidi w:val="1"/>
        <w:spacing w:line="360" w:lineRule="auto" w:before="0" w:after="120"/>
        <w:ind w:firstLine="480"/>
        <w:jc w:val="both"/>
      </w:pPr>
      <w:r>
        <w:rPr>
          <w:rFonts w:ascii="David" w:hAnsi="David" w:cs="David"/>
          <w:b w:val="0"/>
          <w:sz w:val="24"/>
          <w:szCs w:val="24"/>
          <w:rtl w:val="1"/>
        </w:rPr>
        <w:t>המרואיינות תיארו כי חלוקת המשאבים הפיזיים (צעצועים, ציוד, אופניים) מתבצעת באמצעות מערכות שקופות של תורים וכללים. רבקה הדגישה כי השקיפות עצמה היא מקור ההוגנות:</w:t>
      </w:r>
    </w:p>
    <w:p>
      <w:pPr>
        <w:bidi w:val="1"/>
        <w:spacing w:line="360" w:lineRule="auto" w:before="80" w:after="160"/>
        <w:ind w:right="600" w:left="600"/>
        <w:jc w:val="both"/>
      </w:pPr>
      <w:r>
        <w:rPr>
          <w:rFonts w:ascii="David" w:hAnsi="David" w:cs="David"/>
          <w:i/>
          <w:szCs w:val="24"/>
          <w:rtl w:val="1"/>
        </w:rPr>
        <w:t>"בחומרים אני עובדת עם דבר אחד שהוא מקור ההוגנות אצלי, תור עם שמות. יש לנו בגן אופניים, ולפני שנים זה היה שדה קרב."</w:t>
      </w:r>
      <w:r>
        <w:rPr>
          <w:rFonts w:ascii="David" w:hAnsi="David" w:cs="David"/>
          <w:i/>
          <w:szCs w:val="24"/>
          <w:rtl w:val="1"/>
        </w:rPr>
        <w:t xml:space="preserve">  (רבקה)</w:t>
      </w:r>
    </w:p>
    <w:p>
      <w:pPr>
        <w:bidi w:val="1"/>
        <w:spacing w:line="360" w:lineRule="auto" w:before="0" w:after="120"/>
        <w:ind w:firstLine="480"/>
        <w:jc w:val="both"/>
      </w:pPr>
      <w:r>
        <w:rPr>
          <w:rFonts w:ascii="David" w:hAnsi="David" w:cs="David"/>
          <w:b w:val="0"/>
          <w:sz w:val="24"/>
          <w:szCs w:val="24"/>
          <w:rtl w:val="1"/>
        </w:rPr>
        <w:t>יעל הוסיפה ממד של שיתוף הילדים בקביעת הכללים, מתוך אמונה שתחושת הבעלות מחזקת את המחויבות ואת תפיסת ההוגנות. גישות אלה מבטאות את חשיבותו של הצדק הפרוצדורלי, כלומר של ההליך השקוף והעקבי, בבניית תחושת האמון וההוגנות בקרב הילדים (Jiang et al., 2018).</w:t>
      </w:r>
    </w:p>
    <w:p>
      <w:pPr>
        <w:bidi w:val="1"/>
        <w:spacing w:line="360" w:lineRule="auto" w:before="280" w:after="160"/>
        <w:jc w:val="right"/>
      </w:pPr>
      <w:r>
        <w:rPr>
          <w:rFonts w:ascii="David" w:hAnsi="David" w:cs="David"/>
          <w:b/>
          <w:sz w:val="24"/>
          <w:szCs w:val="24"/>
          <w:rtl w:val="1"/>
        </w:rPr>
        <w:t>5.4.2 איזון המרחב הקבוצתי והתמודדות עם הדרה</w:t>
      </w:r>
    </w:p>
    <w:p>
      <w:pPr>
        <w:bidi w:val="1"/>
        <w:spacing w:line="360" w:lineRule="auto" w:before="0" w:after="120"/>
        <w:ind w:firstLine="480"/>
        <w:jc w:val="both"/>
      </w:pPr>
      <w:r>
        <w:rPr>
          <w:rFonts w:ascii="David" w:hAnsi="David" w:cs="David"/>
          <w:b w:val="0"/>
          <w:sz w:val="24"/>
          <w:szCs w:val="24"/>
          <w:rtl w:val="1"/>
        </w:rPr>
        <w:t>כל המרואיינות תיארו התמודדות עם ילד ה"לוקח" מקום רב במרחב הקבוצתי, ועם מצבים של הדרה חברתית. עמדתן המשותפת הייתה שאין לדכא את הילד הדומיננטי אלא לתעל אותו, ובד בבד להעצים את השקטים, כדי לאזן את המרחב על-ידי הגדלה של אחרים ולא על-ידי הקטנה של מישהו. באשר להדרה, הדגישו המרואיינות כי אין לכפות משחק, אלא לשקם את מעמדו החברתי של הילד המודר. אסתר קישרה זאת במפורש לצדק חברתי:</w:t>
      </w:r>
    </w:p>
    <w:p>
      <w:pPr>
        <w:bidi w:val="1"/>
        <w:spacing w:line="360" w:lineRule="auto" w:before="80" w:after="160"/>
        <w:ind w:right="600" w:left="600"/>
        <w:jc w:val="both"/>
      </w:pPr>
      <w:r>
        <w:rPr>
          <w:rFonts w:ascii="David" w:hAnsi="David" w:cs="David"/>
          <w:i/>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w:t>
      </w:r>
      <w:r>
        <w:rPr>
          <w:rFonts w:ascii="David" w:hAnsi="David" w:cs="David"/>
          <w:i/>
          <w:szCs w:val="24"/>
          <w:rtl w:val="1"/>
        </w:rPr>
        <w:t xml:space="preserve">  (אסתר)</w:t>
      </w:r>
    </w:p>
    <w:p>
      <w:pPr>
        <w:bidi w:val="1"/>
        <w:spacing w:line="360" w:lineRule="auto" w:before="0" w:after="120"/>
        <w:ind w:firstLine="480"/>
        <w:jc w:val="both"/>
      </w:pPr>
      <w:r>
        <w:rPr>
          <w:rFonts w:ascii="David" w:hAnsi="David" w:cs="David"/>
          <w:b w:val="0"/>
          <w:sz w:val="24"/>
          <w:szCs w:val="24"/>
          <w:rtl w:val="1"/>
        </w:rPr>
        <w:t>ממצא זה ממחיש כיצד ההדרה החברתית נתפסת בעיני הגננות לא רק כבעיה חברתית-רגשית, אלא כסוגיית צדק חלוקתי מובהקת, שבה תפקידה של הגננת הוא התערבות אקטיבית לצמצום עוול (Lang et al., 2024).</w:t>
      </w:r>
    </w:p>
    <w:p>
      <w:pPr>
        <w:bidi w:val="1"/>
        <w:spacing w:line="360" w:lineRule="auto" w:before="280" w:after="160"/>
        <w:jc w:val="right"/>
      </w:pPr>
      <w:r>
        <w:rPr>
          <w:rFonts w:ascii="David" w:hAnsi="David" w:cs="David"/>
          <w:b/>
          <w:sz w:val="26"/>
          <w:szCs w:val="26"/>
          <w:rtl w:val="1"/>
        </w:rPr>
        <w:t>5.5 צדק חברתי-כלכלי ומניעת בושה</w:t>
      </w:r>
    </w:p>
    <w:p>
      <w:pPr>
        <w:bidi w:val="1"/>
        <w:spacing w:line="360" w:lineRule="auto" w:before="0" w:after="120"/>
        <w:ind w:firstLine="480"/>
        <w:jc w:val="both"/>
      </w:pPr>
      <w:r>
        <w:rPr>
          <w:rFonts w:ascii="David" w:hAnsi="David" w:cs="David"/>
          <w:b w:val="0"/>
          <w:sz w:val="24"/>
          <w:szCs w:val="24"/>
          <w:rtl w:val="1"/>
        </w:rPr>
        <w:t>כל המרואיינות זיהו את הרקע החברתי-כלכלי השונה של הילדים כסוגיה מרכזית, ותיארו מאמץ מכוון למנוע בושה ולצמצם את החשיפה של הפערים. רבקה תיארה כלל אחיד שקבעה לגבי ימי הולדת:</w:t>
      </w:r>
    </w:p>
    <w:p>
      <w:pPr>
        <w:bidi w:val="1"/>
        <w:spacing w:line="360" w:lineRule="auto" w:before="80" w:after="160"/>
        <w:ind w:right="600" w:left="600"/>
        <w:jc w:val="both"/>
      </w:pPr>
      <w:r>
        <w:rPr>
          <w:rFonts w:ascii="David" w:hAnsi="David" w:cs="David"/>
          <w:i/>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w:t>
      </w:r>
      <w:r>
        <w:rPr>
          <w:rFonts w:ascii="David" w:hAnsi="David" w:cs="David"/>
          <w:i/>
          <w:szCs w:val="24"/>
          <w:rtl w:val="1"/>
        </w:rPr>
        <w:t xml:space="preserve">  (רבקה)</w:t>
      </w:r>
    </w:p>
    <w:p>
      <w:pPr>
        <w:bidi w:val="1"/>
        <w:spacing w:line="360" w:lineRule="auto" w:before="0" w:after="120"/>
        <w:ind w:firstLine="480"/>
        <w:jc w:val="both"/>
      </w:pPr>
      <w:r>
        <w:rPr>
          <w:rFonts w:ascii="David" w:hAnsi="David" w:cs="David"/>
          <w:b w:val="0"/>
          <w:sz w:val="24"/>
          <w:szCs w:val="24"/>
          <w:rtl w:val="1"/>
        </w:rPr>
        <w:t>תמר, שגדלה בעצמה במיעוט אמצעים, תיארה החלטה עקרונית שכל החומרים המשמעותיים יגיעו מן הגן ולא מן הבית, כדי שברגע שהילדים עוברים את שער הגן הם נכנסים למרחב שבו כולם שווים. מאמצים אלה מבטאים תפיסה של הגן כמרחב המבקש לצמצם פערים ולא לשקף אותם, ומתחברים לספרות על הצדק החברתי בחינוך כפעולה מתקנת מול ריבוד חברתי-כלכלי (דהאן, 2010; אדלר ובלס, 2009; Elenbaas &amp; Mistry, 2021).</w:t>
      </w:r>
    </w:p>
    <w:p>
      <w:pPr>
        <w:bidi w:val="1"/>
        <w:spacing w:line="360" w:lineRule="auto" w:before="280" w:after="160"/>
        <w:jc w:val="right"/>
      </w:pPr>
      <w:r>
        <w:rPr>
          <w:rFonts w:ascii="David" w:hAnsi="David" w:cs="David"/>
          <w:b/>
          <w:sz w:val="26"/>
          <w:szCs w:val="26"/>
          <w:rtl w:val="1"/>
        </w:rPr>
        <w:t>5.6 הגננת כסוכנת צדק וכמחנכת ערכים</w:t>
      </w:r>
    </w:p>
    <w:p>
      <w:pPr>
        <w:bidi w:val="1"/>
        <w:spacing w:line="360" w:lineRule="auto" w:before="0" w:after="120"/>
        <w:ind w:firstLine="480"/>
        <w:jc w:val="both"/>
      </w:pPr>
      <w:r>
        <w:rPr>
          <w:rFonts w:ascii="David" w:hAnsi="David" w:cs="David"/>
          <w:b w:val="0"/>
          <w:sz w:val="24"/>
          <w:szCs w:val="24"/>
          <w:rtl w:val="1"/>
        </w:rPr>
        <w:t>כל שש המרואיינות תפסו את תפקידן ככולל, ואף כמתמקד, בקידום ערכים של שוויון וצדק חברתי, וראו בכך שליחות ולא תוספת. הן הדגישו כי הילדים לומדים צדק לא מהטפה אלא מדוגמה אישית. שירה ניסחה זאת:</w:t>
      </w:r>
    </w:p>
    <w:p>
      <w:pPr>
        <w:bidi w:val="1"/>
        <w:spacing w:line="360" w:lineRule="auto" w:before="80" w:after="160"/>
        <w:ind w:right="600" w:left="600"/>
        <w:jc w:val="both"/>
      </w:pPr>
      <w:r>
        <w:rPr>
          <w:rFonts w:ascii="David" w:hAnsi="David" w:cs="David"/>
          <w:i/>
          <w:szCs w:val="24"/>
          <w:rtl w:val="1"/>
        </w:rPr>
        <w:t>"ילדים לומדים צדק מדוגמה אישית, לא מהטפה, אני חוזרת לזה כי זה באמת האני מאמין שלי. אני לא מסוגלת לחנך לצדק אם אני עצמי לא הוגנת מולם."</w:t>
      </w:r>
      <w:r>
        <w:rPr>
          <w:rFonts w:ascii="David" w:hAnsi="David" w:cs="David"/>
          <w:i/>
          <w:szCs w:val="24"/>
          <w:rtl w:val="1"/>
        </w:rPr>
        <w:t xml:space="preserve">  (שירה)</w:t>
      </w:r>
    </w:p>
    <w:p>
      <w:pPr>
        <w:bidi w:val="1"/>
        <w:spacing w:line="360" w:lineRule="auto" w:before="0" w:after="120"/>
        <w:ind w:firstLine="480"/>
        <w:jc w:val="both"/>
      </w:pPr>
      <w:r>
        <w:rPr>
          <w:rFonts w:ascii="David" w:hAnsi="David" w:cs="David"/>
          <w:b w:val="0"/>
          <w:sz w:val="24"/>
          <w:szCs w:val="24"/>
          <w:rtl w:val="1"/>
        </w:rPr>
        <w:t>המרואיינות תיארו כי גיל הגן הוא הגיל שבו נבנות התפיסות הבסיסיות על שוויון ושייכות, וכי הן רואות עצמן זורעות את יסודות החברה העתידית. תפיסה זו תואמת את ההמשגה של הגננת כסוכנת הצדק הראשונה של הילד, ומתכתבת עם הספרות המדגישה את תפקידה כדמות מוסרית וכסוכנת שינוי, אך גם עם הממצא בדבר השונות הרבה בין גננות במידת המודעות המפורשת ובכלים שברשותן (Solehuddin &amp; Adriany, 2017; Lang et al., 2024; Ryan &amp; Grieshaber, 2024).</w:t>
      </w:r>
    </w:p>
    <w:p>
      <w:r>
        <w:br w:type="page"/>
      </w:r>
    </w:p>
    <w:p>
      <w:pPr>
        <w:bidi w:val="1"/>
        <w:spacing w:line="360" w:lineRule="auto" w:before="280" w:after="160"/>
        <w:jc w:val="right"/>
      </w:pPr>
      <w:r>
        <w:rPr>
          <w:rFonts w:ascii="David" w:hAnsi="David" w:cs="David"/>
          <w:b/>
          <w:sz w:val="30"/>
          <w:szCs w:val="30"/>
          <w:rtl w:val="1"/>
        </w:rPr>
        <w:t>6. דיון וסיכום</w:t>
      </w:r>
    </w:p>
    <w:p>
      <w:pPr>
        <w:bidi w:val="1"/>
        <w:spacing w:line="360" w:lineRule="auto" w:before="0" w:after="120"/>
        <w:ind w:firstLine="480"/>
        <w:jc w:val="both"/>
      </w:pPr>
      <w:r>
        <w:rPr>
          <w:rFonts w:ascii="David" w:hAnsi="David" w:cs="David"/>
          <w:b w:val="0"/>
          <w:sz w:val="24"/>
          <w:szCs w:val="24"/>
          <w:rtl w:val="1"/>
        </w:rPr>
        <w:t>המחקר הנוכחי בחן כיצד גננות תופסות ומגדירות התנהלות צודקת והוגנת במסגרת הגן. ממצאי המחקר מלמדים כי הגננת חווה את סוגיית הצדק כסוגיה יומיומית, מוחשית ובלתי פוסקת, המתרחשת בכל החלטה זעירה של מי ראשון, מי מקבל תשומת לב ומי זוכה בתפקיד. בניגוד לבית הספר, שבו הצדק נבחן דרך משאב מדיד כמו ציון, בגן מתרכזת סוגיית הצדק סביב חלוקתם של משאבים רכים: תשומת לב רגשית, זמן, מרחב וקבלת תפקידים.</w:t>
      </w:r>
    </w:p>
    <w:p>
      <w:pPr>
        <w:bidi w:val="1"/>
        <w:spacing w:line="360" w:lineRule="auto" w:before="0" w:after="120"/>
        <w:ind w:firstLine="480"/>
        <w:jc w:val="both"/>
      </w:pPr>
      <w:r>
        <w:rPr>
          <w:rFonts w:ascii="David" w:hAnsi="David" w:cs="David"/>
          <w:b w:val="0"/>
          <w:sz w:val="24"/>
          <w:szCs w:val="24"/>
          <w:rtl w:val="1"/>
        </w:rPr>
        <w:t>הממצא המרכזי והחוזר ביותר הוא ההבחנה החדה שעורכות כל הגננות בין חלוקה שווה לחלוקה הוגנת, והעדפתן הברורה את ההוגנות מבוססת-הצורך על פני השוויון המכני. כל שש המרואיינות, ללא יוצאת מן הכלל, הדגימו זאת בדוגמאות קונקרטיות מן הגן, ותיארו כיצד הן נותנות יותר למי שזקוק, לעיתים אף באמצעות שינוי כללי המשחק עצמם. ממצא זה תואם את עיקרון הצורך בגישה הרב-ממדית לצדק חלוקתי (סבג וביברמן-שלו, 2014; Connell, 1993), ומחזק את התובנה כי בגיל הרך, בהיעדר משאב מדיד, ההוגנות מבוססת-הצורך היא עקרון החלוקה הדומיננטי בעיני הגננות.</w:t>
      </w:r>
    </w:p>
    <w:p>
      <w:pPr>
        <w:bidi w:val="1"/>
        <w:spacing w:line="360" w:lineRule="auto" w:before="0" w:after="120"/>
        <w:ind w:firstLine="480"/>
        <w:jc w:val="both"/>
      </w:pPr>
      <w:r>
        <w:rPr>
          <w:rFonts w:ascii="David" w:hAnsi="David" w:cs="David"/>
          <w:b w:val="0"/>
          <w:sz w:val="24"/>
          <w:szCs w:val="24"/>
          <w:rtl w:val="1"/>
        </w:rPr>
        <w:t>ממצא בולט שני הוא המודעות של הגננות לעוול הסמוי, כלומר לסכנה שהילד השקט והנוח ייעלם מן הרדאר לטובת הרועש והדורש. הגננות תיארו את חלוקת תשומת הלב לא כתהליך אינטואיטיבי אלא כפעולה מכוונת ושיטתית, מתוך הבנה שהיענות אינטואיטיבית לרועש היא כשלעצמה מקור לאי-צדק. ממד זה מחבר בין הצדק החלוקתי לצדק האינטראקציוני: לא רק כמה מקבל כל ילד, אלא האם הוא מרגיש נראה ומוכר (Horan et al., 2010; Jiang et al., 2018).</w:t>
      </w:r>
    </w:p>
    <w:p>
      <w:pPr>
        <w:bidi w:val="1"/>
        <w:spacing w:line="360" w:lineRule="auto" w:before="0" w:after="120"/>
        <w:ind w:firstLine="480"/>
        <w:jc w:val="both"/>
      </w:pPr>
      <w:r>
        <w:rPr>
          <w:rFonts w:ascii="David" w:hAnsi="David" w:cs="David"/>
          <w:b w:val="0"/>
          <w:sz w:val="24"/>
          <w:szCs w:val="24"/>
          <w:rtl w:val="1"/>
        </w:rPr>
        <w:t>ממצא שלישי הוא תפיסת הגן כמרחב מתקן, המבקש לצמצם פערים חברתיים-כלכליים ולא לשקף אותם. הגננות תיארו מאמץ מכוון ורגיש למניעת בושה, החל מכללים אחידים לימי הולדת ועד להספקת כל החומרים מן הגן. מאמץ זה בולט במיוחד אצל הגננת מן השכונה המוחלשת ואצל הגננת שגדלה בעצמה במיעוט אמצעים, ומבטא תפיסה של צדק חברתי כפעולה מתקנת מול ריבוד חברתי-כלכלי (דהאן, 2010; אדלר ובלס, 2009).</w:t>
      </w:r>
    </w:p>
    <w:p>
      <w:pPr>
        <w:bidi w:val="1"/>
        <w:spacing w:line="360" w:lineRule="auto" w:before="0" w:after="120"/>
        <w:ind w:firstLine="480"/>
        <w:jc w:val="both"/>
      </w:pPr>
      <w:r>
        <w:rPr>
          <w:rFonts w:ascii="David" w:hAnsi="David" w:cs="David"/>
          <w:b w:val="0"/>
          <w:sz w:val="24"/>
          <w:szCs w:val="24"/>
          <w:rtl w:val="1"/>
        </w:rPr>
        <w:t>לבסוף, כל הגננות תפסו את תפקידן ככולל, ואף כמתמקד, בקידום ערכים של שוויון וצדק חברתי, וראו בכך שליחות. הן הדגישו כי הילדים לומדים צדק מדוגמה אישית ולא מהטפה, ותיארו את עצמן כסוכנות הצדק הראשונות של הילד מול החברה. עם זאת, בהתאם לספרות (Solehuddin &amp; Adriany, 2017; Lang et al., 2024), ניכר כי אף שכל הגננות מחזיקות בערכי צדק מובהקים, מידת המודעות המפורשת שלהן, וכן הכלים והשפה שברשותן, מגוונות ומושפעות מן הוותק, מן הרקע האישי ומאוכלוסיית הגן.</w:t>
      </w:r>
    </w:p>
    <w:p>
      <w:pPr>
        <w:bidi w:val="1"/>
        <w:spacing w:line="360" w:lineRule="auto" w:before="0" w:after="120"/>
        <w:ind w:firstLine="480"/>
        <w:jc w:val="both"/>
      </w:pPr>
      <w:r>
        <w:rPr>
          <w:rFonts w:ascii="David" w:hAnsi="David" w:cs="David"/>
          <w:b w:val="0"/>
          <w:sz w:val="24"/>
          <w:szCs w:val="24"/>
          <w:rtl w:val="1"/>
        </w:rPr>
        <w:t>מן הממצאים עולה כי יש מקום להגביר את המודעות המקצועית של גננות לסוגיית הצדק החלוקתי בגן, ולהעניק להן שפה וכלים מפורשים לעסוק בה. מומלץ לשלב בהכשרת גננות ובהשתלמויות התייחסות מפורשת להבחנה בין שווה להוגן, לחלוקת המשאבים הרכים, ולמאבק בעוול הסמוי של הילד השקט. הטמעה כזו עשויה להפוך את העשייה האינטואיטיבית לעשייה מודעת ומכוונת, ולחזק את תפקידה של הגננת כסוכנת של שוויון וצדק כבר בשנות החיים הראשונות.</w:t>
      </w:r>
    </w:p>
    <w:p>
      <w:pPr>
        <w:bidi w:val="1"/>
        <w:spacing w:line="360" w:lineRule="auto" w:before="0" w:after="120"/>
        <w:ind w:firstLine="480"/>
        <w:jc w:val="both"/>
      </w:pPr>
      <w:r>
        <w:rPr>
          <w:rFonts w:ascii="David" w:hAnsi="David" w:cs="David"/>
          <w:b w:val="0"/>
          <w:sz w:val="24"/>
          <w:szCs w:val="24"/>
          <w:rtl w:val="1"/>
        </w:rPr>
        <w:t>למחקר עתידי מוצע להרחיב את המדגם ולכלול גננות מאזורים ומגזרים מגוונים, וכן גננים, כדי לבחון אם תפיסות הצדק משתנות בהתאם לרקע ולהקשר. כן מוצע לשלב בין ראיונות לבין תצפיות בשדה, כדי לבחון את מידת ההלימה בין התפיסות המוצהרות של הגננות לבין הפרקטיקה בפועל.</w:t>
      </w:r>
    </w:p>
    <w:p>
      <w:r>
        <w:br w:type="page"/>
      </w:r>
    </w:p>
    <w:p>
      <w:pPr>
        <w:bidi w:val="1"/>
        <w:spacing w:line="360" w:lineRule="auto" w:before="280" w:after="160"/>
        <w:jc w:val="right"/>
      </w:pPr>
      <w:r>
        <w:rPr>
          <w:rFonts w:ascii="David" w:hAnsi="David" w:cs="David"/>
          <w:b/>
          <w:sz w:val="30"/>
          <w:szCs w:val="30"/>
          <w:rtl w:val="1"/>
        </w:rPr>
        <w:t>7. רשימת המקורות</w:t>
      </w:r>
    </w:p>
    <w:p>
      <w:pPr>
        <w:bidi w:val="1"/>
        <w:spacing w:line="360" w:lineRule="auto" w:before="0" w:after="80"/>
        <w:jc w:val="both"/>
      </w:pPr>
      <w:r>
        <w:rPr>
          <w:rFonts w:ascii="David" w:hAnsi="David" w:cs="David"/>
          <w:b/>
          <w:sz w:val="24"/>
          <w:szCs w:val="24"/>
          <w:rtl w:val="1"/>
        </w:rPr>
        <w:t>מקורות בעברית</w:t>
      </w:r>
    </w:p>
    <w:p>
      <w:pPr>
        <w:bidi w:val="1"/>
        <w:spacing w:line="360" w:lineRule="auto" w:after="120"/>
        <w:ind w:left="480" w:hanging="480"/>
        <w:jc w:val="both"/>
      </w:pPr>
      <w:r>
        <w:rPr>
          <w:rFonts w:ascii="David" w:hAnsi="David" w:cs="David"/>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szCs w:val="24"/>
          <w:rtl w:val="1"/>
        </w:rPr>
        <w:t>אופנהיימר, א' (2006). תפקידו של המורה בכיתה הטרוגנית על פי גישתו החינוכית של קרל פרנקנשטיין. מפגש לעבודה חינוכית-סוציאלית, 24, 107–120.</w:t>
      </w:r>
    </w:p>
    <w:p>
      <w:pPr>
        <w:bidi w:val="1"/>
        <w:spacing w:line="360" w:lineRule="auto" w:after="120"/>
        <w:ind w:left="480" w:hanging="480"/>
        <w:jc w:val="both"/>
      </w:pPr>
      <w:r>
        <w:rPr>
          <w:rFonts w:ascii="David" w:hAnsi="David" w:cs="David"/>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hanging="480"/>
        <w:jc w:val="both"/>
      </w:pPr>
      <w:r>
        <w:rPr>
          <w:rFonts w:ascii="David" w:hAnsi="David" w:cs="David"/>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hanging="480"/>
        <w:jc w:val="both"/>
      </w:pPr>
      <w:r>
        <w:rPr>
          <w:rFonts w:ascii="David" w:hAnsi="David" w:cs="David"/>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hanging="480"/>
        <w:jc w:val="both"/>
      </w:pPr>
      <w:r>
        <w:rPr>
          <w:rFonts w:ascii="David" w:hAnsi="David" w:cs="David"/>
          <w:szCs w:val="24"/>
          <w:rtl w:val="1"/>
        </w:rPr>
        <w:t>זלמנסון לוי, ג' ומרגלית, ת' (2010). חינוך לצדק חברתי וחינוך לשלום בשיעורי מתמטיקה. עיונים בחינוך, 3, 97–125.</w:t>
      </w:r>
    </w:p>
    <w:p>
      <w:pPr>
        <w:bidi w:val="1"/>
        <w:spacing w:line="360" w:lineRule="auto" w:after="120"/>
        <w:ind w:left="480" w:hanging="480"/>
        <w:jc w:val="both"/>
      </w:pPr>
      <w:r>
        <w:rPr>
          <w:rFonts w:ascii="David" w:hAnsi="David" w:cs="David"/>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szCs w:val="24"/>
          <w:rtl w:val="1"/>
        </w:rPr>
        <w:t>סבג, ק' (2001). מן הראוי אל המצוי: טקסונומיה של תיאוריות של צדק חלוקתי. מגמות, 41(3), 424–451.</w:t>
      </w:r>
    </w:p>
    <w:p>
      <w:pPr>
        <w:bidi w:val="1"/>
        <w:spacing w:line="360" w:lineRule="auto" w:after="120"/>
        <w:ind w:left="480" w:hanging="480"/>
        <w:jc w:val="both"/>
      </w:pPr>
      <w:r>
        <w:rPr>
          <w:rFonts w:ascii="David" w:hAnsi="David" w:cs="David"/>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szCs w:val="24"/>
          <w:rtl w:val="1"/>
        </w:rPr>
        <w:t>צבר בן-יהושע, נ' (1990). המחקר האיכותי בהוראה ובלמידה. תל אביב: מודן.</w:t>
      </w:r>
    </w:p>
    <w:p>
      <w:pPr>
        <w:bidi w:val="1"/>
        <w:spacing w:line="360" w:lineRule="auto" w:after="120"/>
        <w:ind w:left="480" w:hanging="480"/>
        <w:jc w:val="both"/>
      </w:pPr>
      <w:r>
        <w:rPr>
          <w:rFonts w:ascii="David" w:hAnsi="David" w:cs="David"/>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hanging="480"/>
        <w:jc w:val="both"/>
      </w:pPr>
      <w:r>
        <w:rPr>
          <w:rFonts w:ascii="David" w:hAnsi="David" w:cs="David"/>
          <w:szCs w:val="24"/>
          <w:rtl w:val="1"/>
        </w:rPr>
        <w:t>שקדי, א' (2003). מילים המנסות לגעת: מחקר איכותני – תיאוריה ויישום. תל אביב: רמות.</w:t>
      </w:r>
    </w:p>
    <w:p>
      <w:pPr>
        <w:bidi w:val="1"/>
        <w:spacing w:line="360" w:lineRule="auto" w:before="200" w:after="80"/>
        <w:jc w:val="both"/>
      </w:pPr>
      <w:r>
        <w:rPr>
          <w:rFonts w:ascii="David" w:hAnsi="David" w:cs="David"/>
          <w:b/>
          <w:sz w:val="24"/>
          <w:szCs w:val="24"/>
          <w:rtl w:val="1"/>
        </w:rPr>
        <w:t>מקורות באנגלית</w:t>
      </w:r>
    </w:p>
    <w:p>
      <w:pPr>
        <w:bidi w:val="1"/>
        <w:spacing w:line="360" w:lineRule="auto" w:after="120"/>
        <w:ind w:left="480" w:hanging="480"/>
        <w:jc w:val="left"/>
      </w:pPr>
      <w:r>
        <w:rPr>
          <w:rFonts w:ascii="David" w:hAnsi="David" w:cs="David"/>
          <w:sz w:val="24"/>
        </w:rPr>
        <w:t>Connell, R. W. (1993). Schools and social justice. Temple University Press.</w:t>
      </w:r>
    </w:p>
    <w:p>
      <w:pPr>
        <w:bidi w:val="1"/>
        <w:spacing w:line="360" w:lineRule="auto" w:after="120"/>
        <w:ind w:left="480" w:hanging="480"/>
        <w:jc w:val="left"/>
      </w:pPr>
      <w:r>
        <w:rPr>
          <w:rFonts w:ascii="David" w:hAnsi="David" w:cs="David"/>
          <w:sz w:val="24"/>
        </w:rPr>
        <w:t>Çelik, Ö. C., &amp; Şahin, M. G. (2023). Analyzing classroom climate from teachers’ perspectives: A qualitative study. International Journal of Educational Research Review, 8(2), 151–165.</w:t>
      </w:r>
    </w:p>
    <w:p>
      <w:pPr>
        <w:bidi w:val="1"/>
        <w:spacing w:line="360" w:lineRule="auto" w:after="120"/>
        <w:ind w:left="480" w:hanging="480"/>
        <w:jc w:val="left"/>
      </w:pPr>
      <w:r>
        <w:rPr>
          <w:rFonts w:ascii="David" w:hAnsi="David" w:cs="David"/>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hanging="480"/>
        <w:jc w:val="left"/>
      </w:pPr>
      <w:r>
        <w:rPr>
          <w:rFonts w:ascii="David" w:hAnsi="David" w:cs="David"/>
          <w:sz w:val="24"/>
        </w:rPr>
        <w:t>Deutsch, M. (1985). Distributive justice: A social-psychological perspective. Yale University Press.</w:t>
      </w:r>
    </w:p>
    <w:p>
      <w:pPr>
        <w:bidi w:val="1"/>
        <w:spacing w:line="360" w:lineRule="auto" w:after="120"/>
        <w:ind w:left="480" w:hanging="480"/>
        <w:jc w:val="left"/>
      </w:pPr>
      <w:r>
        <w:rPr>
          <w:rFonts w:ascii="David" w:hAnsi="David" w:cs="David"/>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hanging="480"/>
        <w:jc w:val="left"/>
      </w:pPr>
      <w:r>
        <w:rPr>
          <w:rFonts w:ascii="David" w:hAnsi="David" w:cs="David"/>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hanging="480"/>
        <w:jc w:val="left"/>
      </w:pPr>
      <w:r>
        <w:rPr>
          <w:rFonts w:ascii="David" w:hAnsi="David" w:cs="David"/>
          <w:sz w:val="24"/>
        </w:rPr>
        <w:t>Horan, S. M., Chory, R. M., &amp; Goodboy, A. K. (2010). Understanding students’ classroom justice experiences and responses. Communication Education, 59(4), 453–474.</w:t>
      </w:r>
    </w:p>
    <w:p>
      <w:pPr>
        <w:bidi w:val="1"/>
        <w:spacing w:line="360" w:lineRule="auto" w:after="120"/>
        <w:ind w:left="480" w:hanging="480"/>
        <w:jc w:val="left"/>
      </w:pPr>
      <w:r>
        <w:rPr>
          <w:rFonts w:ascii="David" w:hAnsi="David" w:cs="David"/>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hanging="480"/>
        <w:jc w:val="left"/>
      </w:pPr>
      <w:r>
        <w:rPr>
          <w:rFonts w:ascii="David" w:hAnsi="David" w:cs="David"/>
          <w:sz w:val="24"/>
        </w:rPr>
        <w:t>Lang, S. N., et al. (2024). Early childhood teachers’ dispositions, knowledge, and skills related to diversity, inclusion, equity, and justice. Early Childhood Research Quarterly, 67, 1–13.</w:t>
      </w:r>
    </w:p>
    <w:p>
      <w:pPr>
        <w:bidi w:val="1"/>
        <w:spacing w:line="360" w:lineRule="auto" w:after="120"/>
        <w:ind w:left="480" w:hanging="480"/>
        <w:jc w:val="left"/>
      </w:pPr>
      <w:r>
        <w:rPr>
          <w:rFonts w:ascii="David" w:hAnsi="David" w:cs="David"/>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hanging="480"/>
        <w:jc w:val="left"/>
      </w:pPr>
      <w:r>
        <w:rPr>
          <w:rFonts w:ascii="David" w:hAnsi="David" w:cs="David"/>
          <w:sz w:val="24"/>
        </w:rPr>
        <w:t>Rawls, J. (1971). A theory of justice. Harvard University Press.</w:t>
      </w:r>
    </w:p>
    <w:p>
      <w:pPr>
        <w:bidi w:val="1"/>
        <w:spacing w:line="360" w:lineRule="auto" w:after="120"/>
        <w:ind w:left="480" w:hanging="480"/>
        <w:jc w:val="left"/>
      </w:pPr>
      <w:r>
        <w:rPr>
          <w:rFonts w:ascii="David" w:hAnsi="David" w:cs="David"/>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hanging="480"/>
        <w:jc w:val="left"/>
      </w:pPr>
      <w:r>
        <w:rPr>
          <w:rFonts w:ascii="David" w:hAnsi="David" w:cs="David"/>
          <w:sz w:val="24"/>
        </w:rPr>
        <w:t>Solehuddin, M., &amp; Adriany, V. (2017). Kindergarten teachers’ understanding on social justice: Stories from Indonesia. SAGE Open, 7(4). https://doi.org/10.1177/2158244017739340</w:t>
      </w:r>
    </w:p>
    <w:p>
      <w:r>
        <w:br w:type="page"/>
      </w:r>
    </w:p>
    <w:p>
      <w:pPr>
        <w:bidi w:val="1"/>
        <w:spacing w:line="360" w:lineRule="auto" w:before="280" w:after="160"/>
        <w:jc w:val="right"/>
      </w:pPr>
      <w:r>
        <w:rPr>
          <w:rFonts w:ascii="David" w:hAnsi="David" w:cs="David"/>
          <w:b/>
          <w:sz w:val="30"/>
          <w:szCs w:val="30"/>
          <w:rtl w:val="1"/>
        </w:rPr>
        <w:t>8. נספחים</w:t>
      </w:r>
    </w:p>
    <w:p>
      <w:pPr>
        <w:bidi w:val="1"/>
        <w:spacing w:line="360" w:lineRule="auto" w:before="280" w:after="160"/>
        <w:jc w:val="right"/>
      </w:pPr>
      <w:r>
        <w:rPr>
          <w:rFonts w:ascii="David" w:hAnsi="David" w:cs="David"/>
          <w:b/>
          <w:sz w:val="26"/>
          <w:szCs w:val="26"/>
          <w:rtl w:val="1"/>
        </w:rPr>
        <w:t>נספח 1: מדריך הראיון החצי-מובנה</w:t>
      </w:r>
    </w:p>
    <w:p>
      <w:pPr>
        <w:bidi w:val="1"/>
        <w:spacing w:line="360" w:lineRule="auto" w:after="80"/>
        <w:jc w:val="both"/>
      </w:pPr>
      <w:r>
        <w:rPr>
          <w:rFonts w:ascii="David" w:hAnsi="David" w:cs="David"/>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szCs w:val="24"/>
          <w:rtl w:val="1"/>
        </w:rPr>
        <w:t>2. לימדת בגנים נוספים לפני כן? תארי לי מה היה שונה בין הגנים.</w:t>
      </w:r>
    </w:p>
    <w:p>
      <w:pPr>
        <w:bidi w:val="1"/>
        <w:spacing w:line="360" w:lineRule="auto" w:after="80"/>
        <w:jc w:val="both"/>
      </w:pPr>
      <w:r>
        <w:rPr>
          <w:rFonts w:ascii="David" w:hAnsi="David" w:cs="David"/>
          <w:szCs w:val="24"/>
          <w:rtl w:val="1"/>
        </w:rPr>
        <w:t>3. איזה גיל וקבוצה את מלמדת היום, וכמה ילדים בגן?</w:t>
      </w:r>
    </w:p>
    <w:p>
      <w:pPr>
        <w:bidi w:val="1"/>
        <w:spacing w:line="360" w:lineRule="auto" w:after="80"/>
        <w:jc w:val="both"/>
      </w:pPr>
      <w:r>
        <w:rPr>
          <w:rFonts w:ascii="David" w:hAnsi="David" w:cs="David"/>
          <w:szCs w:val="24"/>
          <w:rtl w:val="1"/>
        </w:rPr>
        <w:t>4. היכן הוכשרת, ומה מהרקע שלך משפיע על הדרך שבה את עובדת?</w:t>
      </w:r>
    </w:p>
    <w:p>
      <w:pPr>
        <w:bidi w:val="1"/>
        <w:spacing w:line="360" w:lineRule="auto" w:after="80"/>
        <w:jc w:val="both"/>
      </w:pPr>
      <w:r>
        <w:rPr>
          <w:rFonts w:ascii="David" w:hAnsi="David" w:cs="David"/>
          <w:szCs w:val="24"/>
          <w:rtl w:val="1"/>
        </w:rPr>
        <w:t>5. האם את נושאת בתפקידים נוספים במסגרת הגן או מחוצה לו?</w:t>
      </w:r>
    </w:p>
    <w:p>
      <w:pPr>
        <w:bidi w:val="1"/>
        <w:spacing w:line="360" w:lineRule="auto" w:after="80"/>
        <w:jc w:val="both"/>
      </w:pPr>
      <w:r>
        <w:rPr>
          <w:rFonts w:ascii="David" w:hAnsi="David" w:cs="David"/>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szCs w:val="24"/>
          <w:rtl w:val="1"/>
        </w:rPr>
        <w:t>22. האם את מרגישה שתפקידך כגננת כולל קידום ערכים של שוויון וצדק חברתי? תארי לי כיצד.</w:t>
      </w:r>
    </w:p>
    <w:p>
      <w:r>
        <w:br w:type="page"/>
      </w:r>
    </w:p>
    <w:p>
      <w:pPr>
        <w:bidi w:val="1"/>
        <w:spacing w:line="360" w:lineRule="auto" w:before="280" w:after="160"/>
        <w:jc w:val="right"/>
      </w:pPr>
      <w:r>
        <w:rPr>
          <w:rFonts w:ascii="David" w:hAnsi="David" w:cs="David"/>
          <w:b/>
          <w:sz w:val="26"/>
          <w:szCs w:val="26"/>
          <w:rtl w:val="1"/>
        </w:rPr>
        <w:t>נספח 2: טבלה 1 – ארגון תשובות המרואיינות (דוגמה)</w:t>
      </w:r>
    </w:p>
    <w:p>
      <w:pPr>
        <w:bidi w:val="1"/>
        <w:spacing w:line="360" w:lineRule="auto" w:before="0" w:after="120"/>
        <w:ind w:firstLine="480"/>
        <w:jc w:val="both"/>
      </w:pPr>
      <w:r>
        <w:rPr>
          <w:rFonts w:ascii="David" w:hAnsi="David" w:cs="David"/>
          <w:b w:val="0"/>
          <w:sz w:val="24"/>
          <w:szCs w:val="24"/>
          <w:rtl w:val="1"/>
        </w:rPr>
        <w:t>להלן מבנה טבלת הארגון של תשובות המרואיינות, כפי שנדרש בשלב ניתוח הנתונים. מפאת אורך התשובות מוצגות כאן שלוש שאלות מייצגות; מלוא התמלולים מובא בנספח 3.</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szCs w:val="24"/>
                <w:rtl w:val="1"/>
              </w:rPr>
            </w:r>
            <w:r>
              <w:rPr>
                <w:rFonts w:ascii="David" w:hAnsi="David" w:cs="David"/>
                <w:b/>
                <w:sz w:val="24"/>
                <w:szCs w:val="24"/>
                <w:rtl w:val="1"/>
              </w:rPr>
              <w:t>שאלה</w:t>
            </w:r>
          </w:p>
        </w:tc>
        <w:tc>
          <w:tcPr>
            <w:tcW w:type="dxa" w:w="1337"/>
          </w:tcPr>
          <w:p>
            <w:pPr>
              <w:bidi w:val="1"/>
              <w:jc w:val="center"/>
            </w:pPr>
            <w:r>
              <w:rPr>
                <w:rFonts w:ascii="David" w:hAnsi="David" w:cs="David"/>
                <w:szCs w:val="24"/>
                <w:rtl w:val="1"/>
              </w:rPr>
            </w:r>
            <w:r>
              <w:rPr>
                <w:rFonts w:ascii="David" w:hAnsi="David" w:cs="David"/>
                <w:b/>
                <w:sz w:val="24"/>
                <w:szCs w:val="24"/>
                <w:rtl w:val="1"/>
              </w:rPr>
              <w:t>שירה כהן</w:t>
            </w:r>
          </w:p>
        </w:tc>
        <w:tc>
          <w:tcPr>
            <w:tcW w:type="dxa" w:w="1337"/>
          </w:tcPr>
          <w:p>
            <w:pPr>
              <w:bidi w:val="1"/>
              <w:jc w:val="center"/>
            </w:pPr>
            <w:r>
              <w:rPr>
                <w:rFonts w:ascii="David" w:hAnsi="David" w:cs="David"/>
                <w:szCs w:val="24"/>
                <w:rtl w:val="1"/>
              </w:rPr>
            </w:r>
            <w:r>
              <w:rPr>
                <w:rFonts w:ascii="David" w:hAnsi="David" w:cs="David"/>
                <w:b/>
                <w:sz w:val="24"/>
                <w:szCs w:val="24"/>
                <w:rtl w:val="1"/>
              </w:rPr>
              <w:t>רבקה לוי</w:t>
            </w:r>
          </w:p>
        </w:tc>
        <w:tc>
          <w:tcPr>
            <w:tcW w:type="dxa" w:w="1337"/>
          </w:tcPr>
          <w:p>
            <w:pPr>
              <w:bidi w:val="1"/>
              <w:jc w:val="center"/>
            </w:pPr>
            <w:r>
              <w:rPr>
                <w:rFonts w:ascii="David" w:hAnsi="David" w:cs="David"/>
                <w:szCs w:val="24"/>
                <w:rtl w:val="1"/>
              </w:rPr>
            </w:r>
            <w:r>
              <w:rPr>
                <w:rFonts w:ascii="David" w:hAnsi="David" w:cs="David"/>
                <w:b/>
                <w:sz w:val="24"/>
                <w:szCs w:val="24"/>
                <w:rtl w:val="1"/>
              </w:rPr>
              <w:t>יעל אברהם</w:t>
            </w:r>
          </w:p>
        </w:tc>
        <w:tc>
          <w:tcPr>
            <w:tcW w:type="dxa" w:w="1337"/>
          </w:tcPr>
          <w:p>
            <w:pPr>
              <w:bidi w:val="1"/>
              <w:jc w:val="center"/>
            </w:pPr>
            <w:r>
              <w:rPr>
                <w:rFonts w:ascii="David" w:hAnsi="David" w:cs="David"/>
                <w:szCs w:val="24"/>
                <w:rtl w:val="1"/>
              </w:rPr>
            </w:r>
            <w:r>
              <w:rPr>
                <w:rFonts w:ascii="David" w:hAnsi="David" w:cs="David"/>
                <w:b/>
                <w:sz w:val="24"/>
                <w:szCs w:val="24"/>
                <w:rtl w:val="1"/>
              </w:rPr>
              <w:t>תמר פרידמן</w:t>
            </w:r>
          </w:p>
        </w:tc>
        <w:tc>
          <w:tcPr>
            <w:tcW w:type="dxa" w:w="1337"/>
          </w:tcPr>
          <w:p>
            <w:pPr>
              <w:bidi w:val="1"/>
              <w:jc w:val="center"/>
            </w:pPr>
            <w:r>
              <w:rPr>
                <w:rFonts w:ascii="David" w:hAnsi="David" w:cs="David"/>
                <w:szCs w:val="24"/>
                <w:rtl w:val="1"/>
              </w:rPr>
            </w:r>
            <w:r>
              <w:rPr>
                <w:rFonts w:ascii="David" w:hAnsi="David" w:cs="David"/>
                <w:b/>
                <w:sz w:val="24"/>
                <w:szCs w:val="24"/>
                <w:rtl w:val="1"/>
              </w:rPr>
              <w:t>נעמה בן-דוד</w:t>
            </w:r>
          </w:p>
        </w:tc>
        <w:tc>
          <w:tcPr>
            <w:tcW w:type="dxa" w:w="1337"/>
          </w:tcPr>
          <w:p>
            <w:pPr>
              <w:bidi w:val="1"/>
              <w:jc w:val="center"/>
            </w:pPr>
            <w:r>
              <w:rPr>
                <w:rFonts w:ascii="David" w:hAnsi="David" w:cs="David"/>
                <w:szCs w:val="24"/>
                <w:rtl w:val="1"/>
              </w:rPr>
            </w:r>
            <w:r>
              <w:rPr>
                <w:rFonts w:ascii="David" w:hAnsi="David" w:cs="David"/>
                <w:b/>
                <w:sz w:val="24"/>
                <w:szCs w:val="24"/>
                <w:rtl w:val="1"/>
              </w:rPr>
              <w:t>אסתר מזרחי</w:t>
            </w:r>
          </w:p>
        </w:tc>
      </w:tr>
      <w:tr>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כשאת שומעת את המונח "צדק בגן הילדי…</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תראי, כשאני שומעת צדק בגן הילדים, הדבר הראשון שעולה לי …</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המחשבה הראשונה שעולה לי היא מאזניים. באמת, אני רואה מאז…</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המחשבה הראשונה שעולה לי היא דווקא לא של חלוקה שווה של ד…</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המחשבה הראשונה שעולה לי היא שצדק זה לא לחלק שווה בשווה.…</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האמת שכשאני שומעת את המילה צדק, הדבר הראשון שעולה לי הו…</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המחשבה הראשונה שעולה לי היא לא שוויון, אלא הוגנות, וזה …</w:t>
            </w:r>
          </w:p>
        </w:tc>
      </w:tr>
      <w:tr>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האם לדעתך חלוקה "שווה" וחלוקה "הוג…</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לא, בשבילי שווה והוגן זה ממש לא אותו דבר, וזה אולי הדבר…</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לא, ממש לא אותו דבר, ואני נותנת לך דוגמה שממחישה את זה …</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לא, ממש לא אותו דבר, וזה בעיניי אחד הדברים הכי חשובים ש…</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לא, בשום פנים לא אותו דבר, וזה בעצם כל הסיפור שלי. חלוק…</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לא, בשבילי אלה ממש לא אותו דבר, וזה אחד הדברים החשובים …</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לא, ממש לא אותו דבר, וזה אולי הדבר הכי חשוב שהבנתי ב 24…</w:t>
            </w:r>
          </w:p>
        </w:tc>
      </w:tr>
      <w:tr>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האם את מרגישה שתפקידך כגננת כולל ק…</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כן, ואני חושבת שזה אחד הדברים הכי חשובים שאני עושה, אול…</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בהחלט, אני מרגישה שזה בלב התפקיד שלי, אולי יותר מכל דבר…</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בכל הלב אני מרגישה שזה חלק מהתפקיד שלי, אולי אפילו החלק…</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כן, אני מרגישה שזה בדיוק לב התפקיד, אולי החלק הכי חשוב …</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כן, אני מרגישה שזה ממש חלק מהתפקיד שלי, אולי אחד החלקים…</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לגמרי, ואם לא הייתי מרגישה ככה לא הייתי נשארת פה 24 שנה…</w:t>
            </w:r>
          </w:p>
        </w:tc>
      </w:tr>
    </w:tbl>
    <w:p>
      <w:r>
        <w:br w:type="page"/>
      </w:r>
    </w:p>
    <w:p>
      <w:pPr>
        <w:bidi w:val="1"/>
        <w:spacing w:line="360" w:lineRule="auto" w:before="280" w:after="160"/>
        <w:jc w:val="right"/>
      </w:pPr>
      <w:r>
        <w:rPr>
          <w:rFonts w:ascii="David" w:hAnsi="David" w:cs="David"/>
          <w:b/>
          <w:sz w:val="26"/>
          <w:szCs w:val="26"/>
          <w:rtl w:val="1"/>
        </w:rPr>
        <w:t>נספח 3: תמלול הראיונות המלאים</w:t>
      </w:r>
    </w:p>
    <w:p>
      <w:pPr>
        <w:bidi w:val="1"/>
        <w:spacing w:line="360" w:lineRule="auto" w:before="0" w:after="80"/>
        <w:jc w:val="center"/>
      </w:pPr>
      <w:r>
        <w:rPr>
          <w:rFonts w:ascii="David" w:hAnsi="David" w:cs="David"/>
          <w:b/>
          <w:sz w:val="28"/>
          <w:szCs w:val="28"/>
          <w:rtl w:val="1"/>
        </w:rPr>
        <w:t>ראיון 1: שירה כהן</w:t>
      </w:r>
    </w:p>
    <w:p>
      <w:pPr>
        <w:bidi w:val="1"/>
        <w:spacing w:line="360" w:lineRule="auto" w:before="0" w:after="160"/>
        <w:jc w:val="center"/>
      </w:pPr>
      <w:r>
        <w:rPr>
          <w:rFonts w:ascii="David" w:hAnsi="David" w:cs="David"/>
          <w:b w:val="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r>
        <w:br w:type="page"/>
      </w:r>
    </w:p>
    <w:p>
      <w:pPr>
        <w:bidi w:val="1"/>
        <w:spacing w:line="360" w:lineRule="auto" w:before="0" w:after="80"/>
        <w:jc w:val="center"/>
      </w:pPr>
      <w:r>
        <w:rPr>
          <w:rFonts w:ascii="David" w:hAnsi="David" w:cs="David"/>
          <w:b/>
          <w:sz w:val="28"/>
          <w:szCs w:val="28"/>
          <w:rtl w:val="1"/>
        </w:rPr>
        <w:t>ראיון 2: רבקה לוי</w:t>
      </w:r>
    </w:p>
    <w:p>
      <w:pPr>
        <w:bidi w:val="1"/>
        <w:spacing w:line="360" w:lineRule="auto" w:before="0" w:after="160"/>
        <w:jc w:val="center"/>
      </w:pPr>
      <w:r>
        <w:rPr>
          <w:rFonts w:ascii="David" w:hAnsi="David" w:cs="David"/>
          <w:b w:val="0"/>
          <w:sz w:val="22"/>
          <w:szCs w:val="22"/>
          <w:rtl w:val="1"/>
        </w:rPr>
        <w:t>גיל: 58 | ותק: 28 שנה | מגזר: מסורתי | גן חובה, שכונה ותיקה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r>
        <w:br w:type="page"/>
      </w:r>
    </w:p>
    <w:p>
      <w:pPr>
        <w:bidi w:val="1"/>
        <w:spacing w:line="360" w:lineRule="auto" w:before="0" w:after="80"/>
        <w:jc w:val="center"/>
      </w:pPr>
      <w:r>
        <w:rPr>
          <w:rFonts w:ascii="David" w:hAnsi="David" w:cs="David"/>
          <w:b/>
          <w:sz w:val="28"/>
          <w:szCs w:val="28"/>
          <w:rtl w:val="1"/>
        </w:rPr>
        <w:t>ראיון 3: יעל אברהם</w:t>
      </w:r>
    </w:p>
    <w:p>
      <w:pPr>
        <w:bidi w:val="1"/>
        <w:spacing w:line="360" w:lineRule="auto" w:before="0" w:after="160"/>
        <w:jc w:val="center"/>
      </w:pPr>
      <w:r>
        <w:rPr>
          <w:rFonts w:ascii="David" w:hAnsi="David" w:cs="David"/>
          <w:b w:val="0"/>
          <w:sz w:val="22"/>
          <w:szCs w:val="22"/>
          <w:rtl w:val="1"/>
        </w:rPr>
        <w:t>גיל: 29 | ותק: 5 שנים | מגזר: חילוני | גן טרום-חובה עירוני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r>
        <w:br w:type="page"/>
      </w:r>
    </w:p>
    <w:p>
      <w:pPr>
        <w:bidi w:val="1"/>
        <w:spacing w:line="360" w:lineRule="auto" w:before="0" w:after="80"/>
        <w:jc w:val="center"/>
      </w:pPr>
      <w:r>
        <w:rPr>
          <w:rFonts w:ascii="David" w:hAnsi="David" w:cs="David"/>
          <w:b/>
          <w:sz w:val="28"/>
          <w:szCs w:val="28"/>
          <w:rtl w:val="1"/>
        </w:rPr>
        <w:t>ראיון 4: תמר פרידמן</w:t>
      </w:r>
    </w:p>
    <w:p>
      <w:pPr>
        <w:bidi w:val="1"/>
        <w:spacing w:line="360" w:lineRule="auto" w:before="0" w:after="160"/>
        <w:jc w:val="center"/>
      </w:pPr>
      <w:r>
        <w:rPr>
          <w:rFonts w:ascii="David" w:hAnsi="David" w:cs="David"/>
          <w:b w:val="0"/>
          <w:sz w:val="22"/>
          <w:szCs w:val="22"/>
          <w:rtl w:val="1"/>
        </w:rPr>
        <w:t>גיל: 49 | ותק: 22 שנה | מגזר: חילוני | גן חובה, יישוב מעורב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r>
        <w:br w:type="page"/>
      </w:r>
    </w:p>
    <w:p>
      <w:pPr>
        <w:bidi w:val="1"/>
        <w:spacing w:line="360" w:lineRule="auto" w:before="0" w:after="80"/>
        <w:jc w:val="center"/>
      </w:pPr>
      <w:r>
        <w:rPr>
          <w:rFonts w:ascii="David" w:hAnsi="David" w:cs="David"/>
          <w:b/>
          <w:sz w:val="28"/>
          <w:szCs w:val="28"/>
          <w:rtl w:val="1"/>
        </w:rPr>
        <w:t>ראיון 5: נעמה בן-דוד</w:t>
      </w:r>
    </w:p>
    <w:p>
      <w:pPr>
        <w:bidi w:val="1"/>
        <w:spacing w:line="360" w:lineRule="auto" w:before="0" w:after="160"/>
        <w:jc w:val="center"/>
      </w:pPr>
      <w:r>
        <w:rPr>
          <w:rFonts w:ascii="David" w:hAnsi="David" w:cs="David"/>
          <w:b w:val="0"/>
          <w:sz w:val="22"/>
          <w:szCs w:val="22"/>
          <w:rtl w:val="1"/>
        </w:rPr>
        <w:t>גיל: 41 | ותק: 14 שנה | מגזר: חילוני | גן חובה עירוני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r>
        <w:br w:type="page"/>
      </w:r>
    </w:p>
    <w:p>
      <w:pPr>
        <w:bidi w:val="1"/>
        <w:spacing w:line="360" w:lineRule="auto" w:before="0" w:after="80"/>
        <w:jc w:val="center"/>
      </w:pPr>
      <w:r>
        <w:rPr>
          <w:rFonts w:ascii="David" w:hAnsi="David" w:cs="David"/>
          <w:b/>
          <w:sz w:val="28"/>
          <w:szCs w:val="28"/>
          <w:rtl w:val="1"/>
        </w:rPr>
        <w:t>ראיון 6: אסתר מזרחי</w:t>
      </w:r>
    </w:p>
    <w:p>
      <w:pPr>
        <w:bidi w:val="1"/>
        <w:spacing w:line="360" w:lineRule="auto" w:before="0" w:after="160"/>
        <w:jc w:val="center"/>
      </w:pPr>
      <w:r>
        <w:rPr>
          <w:rFonts w:ascii="David" w:hAnsi="David" w:cs="David"/>
          <w:b w:val="0"/>
          <w:sz w:val="22"/>
          <w:szCs w:val="22"/>
          <w:rtl w:val="1"/>
        </w:rPr>
        <w:t>גיל: 52 | ותק: 24 שנה | מגזר: מסורתי | גן חובה בשכונה מוחלשת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sectPr w:rsidR="00FC693F" w:rsidRPr="0006063C" w:rsidSect="00034616">
      <w:bidi/>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