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ashed" w:color="999999" w:sz="6" w:space="6"/>
          <w:bottom w:val="dashed" w:color="999999" w:sz="6" w:space="6"/>
          <w:left w:val="dashed" w:color="999999" w:sz="6" w:space="6"/>
          <w:right w:val="dashed" w:color="999999" w:sz="6" w:space="6"/>
        </w:pBdr>
        <w:bidi/>
        <w:spacing w:after="480" w:before="240" w:line="360"/>
        <w:jc w:val="center"/>
      </w:pPr>
      <w:r>
        <w:rPr>
          <w:rFonts w:ascii="David" w:cs="David" w:eastAsia="David" w:hAnsi="David"/>
          <w:color w:val="808080"/>
          <w:sz w:val="24"/>
          <w:szCs w:val="24"/>
          <w:rtl/>
        </w:rPr>
        <w:t xml:space="preserve">[יש להוסיף כאן את לוגו הקריה האקדמית אונו ולמחוק את המסגרת]</w:t>
      </w:r>
    </w:p>
    <w:p>
      <w:pPr>
        <w:bidi/>
        <w:spacing w:after="120" w:before="0" w:line="360"/>
        <w:jc w:val="center"/>
      </w:pPr>
      <w:r>
        <w:rPr>
          <w:rFonts w:ascii="David" w:cs="David" w:eastAsia="David" w:hAnsi="David"/>
          <w:b/>
          <w:bCs/>
          <w:sz w:val="24"/>
          <w:szCs w:val="24"/>
          <w:rtl/>
        </w:rPr>
        <w:t xml:space="preserve">הקריה האקדמית אונו</w:t>
      </w:r>
    </w:p>
    <w:p>
      <w:pPr>
        <w:bidi/>
        <w:spacing w:after="480" w:before="0" w:line="360"/>
        <w:jc w:val="center"/>
      </w:pPr>
      <w:r>
        <w:rPr>
          <w:rFonts w:ascii="David" w:cs="David" w:eastAsia="David" w:hAnsi="David"/>
          <w:sz w:val="24"/>
          <w:szCs w:val="24"/>
          <w:rtl/>
        </w:rPr>
        <w:t xml:space="preserve">הפקולטה למדעי הרוח, החוג לחינוך וחברה</w:t>
      </w:r>
    </w:p>
    <w:p>
      <w:pPr>
        <w:bidi/>
        <w:spacing w:after="60" w:before="0" w:line="360"/>
        <w:jc w:val="center"/>
      </w:pPr>
      <w:r>
        <w:rPr>
          <w:rFonts w:ascii="David" w:cs="David" w:eastAsia="David" w:hAnsi="David"/>
          <w:sz w:val="24"/>
          <w:szCs w:val="24"/>
          <w:rtl/>
        </w:rPr>
        <w:t xml:space="preserve">מוגבלות בלתי נראית ב'</w:t>
      </w:r>
    </w:p>
    <w:p>
      <w:pPr>
        <w:bidi/>
        <w:spacing w:after="60" w:before="0" w:line="360"/>
        <w:jc w:val="center"/>
      </w:pPr>
      <w:r>
        <w:rPr>
          <w:rFonts w:ascii="David" w:cs="David" w:eastAsia="David" w:hAnsi="David"/>
          <w:sz w:val="24"/>
          <w:szCs w:val="24"/>
          <w:rtl/>
        </w:rPr>
        <w:t xml:space="preserve">שנת הלימודים תשפ"ו, סמסטר ב'</w:t>
      </w:r>
    </w:p>
    <w:p>
      <w:pPr>
        <w:bidi/>
        <w:spacing w:after="720" w:before="0" w:line="360"/>
        <w:jc w:val="center"/>
      </w:pPr>
      <w:r>
        <w:rPr>
          <w:rFonts w:ascii="David" w:cs="David" w:eastAsia="David" w:hAnsi="David"/>
          <w:sz w:val="24"/>
          <w:szCs w:val="24"/>
          <w:rtl/>
        </w:rPr>
        <w:t xml:space="preserve">מרצה: ד"ר דורית ושלר</w:t>
      </w:r>
    </w:p>
    <w:p>
      <w:pPr>
        <w:bidi/>
        <w:spacing w:after="200" w:before="0" w:line="360"/>
        <w:jc w:val="center"/>
      </w:pPr>
      <w:r>
        <w:rPr>
          <w:rFonts w:ascii="David" w:cs="David" w:eastAsia="David" w:hAnsi="David"/>
          <w:b/>
          <w:bCs/>
          <w:sz w:val="24"/>
          <w:szCs w:val="24"/>
          <w:rtl/>
        </w:rPr>
        <w:t xml:space="preserve">מטלת סיכום קורס</w:t>
      </w:r>
    </w:p>
    <w:p>
      <w:pPr>
        <w:bidi/>
        <w:spacing w:after="60" w:before="0" w:line="360"/>
        <w:jc w:val="center"/>
      </w:pPr>
      <w:r>
        <w:rPr>
          <w:rFonts w:ascii="David" w:cs="David" w:eastAsia="David" w:hAnsi="David"/>
          <w:b/>
          <w:bCs/>
          <w:sz w:val="24"/>
          <w:szCs w:val="24"/>
          <w:rtl/>
        </w:rPr>
        <w:t xml:space="preserve">צבים עד למטה: בין הסתרה לחשיפה בדמותה של אזה הולמס</w:t>
      </w:r>
    </w:p>
    <w:p>
      <w:pPr>
        <w:bidi/>
        <w:spacing w:after="960" w:before="0" w:line="360"/>
        <w:jc w:val="center"/>
      </w:pPr>
      <w:r>
        <w:rPr>
          <w:rFonts w:ascii="David" w:cs="David" w:eastAsia="David" w:hAnsi="David"/>
          <w:sz w:val="24"/>
          <w:szCs w:val="24"/>
          <w:rtl/>
        </w:rPr>
        <w:t xml:space="preserve">ייצוגה של הפרעה טורדנית-כפייתית ומשמעותה לעבודה החינוכית</w:t>
      </w:r>
    </w:p>
    <w:p>
      <w:pPr>
        <w:bidi/>
        <w:spacing w:after="60" w:before="0" w:line="360"/>
        <w:jc w:val="center"/>
      </w:pPr>
      <w:r>
        <w:rPr>
          <w:rFonts w:ascii="David" w:cs="David" w:eastAsia="David" w:hAnsi="David"/>
          <w:sz w:val="24"/>
          <w:szCs w:val="24"/>
          <w:rtl/>
        </w:rPr>
        <w:t xml:space="preserve">מגישות:</w:t>
      </w:r>
    </w:p>
    <w:p>
      <w:pPr>
        <w:bidi/>
        <w:spacing w:after="60" w:before="0" w:line="360"/>
        <w:jc w:val="center"/>
      </w:pPr>
      <w:r>
        <w:rPr>
          <w:rFonts w:ascii="David" w:cs="David" w:eastAsia="David" w:hAnsi="David"/>
          <w:sz w:val="24"/>
          <w:szCs w:val="24"/>
          <w:rtl/>
        </w:rPr>
        <w:t xml:space="preserve">______________________    ת.ז. ______________</w:t>
      </w:r>
    </w:p>
    <w:p>
      <w:pPr>
        <w:bidi/>
        <w:spacing w:after="600" w:before="0" w:line="360"/>
        <w:jc w:val="center"/>
      </w:pPr>
      <w:r>
        <w:rPr>
          <w:rFonts w:ascii="David" w:cs="David" w:eastAsia="David" w:hAnsi="David"/>
          <w:sz w:val="24"/>
          <w:szCs w:val="24"/>
          <w:rtl/>
        </w:rPr>
        <w:t xml:space="preserve">______________________    ת.ז. ______________</w:t>
      </w:r>
    </w:p>
    <w:p>
      <w:pPr>
        <w:bidi/>
        <w:spacing w:after="120" w:before="0" w:line="360"/>
        <w:jc w:val="center"/>
      </w:pPr>
      <w:r>
        <w:rPr>
          <w:rFonts w:ascii="David" w:cs="David" w:eastAsia="David" w:hAnsi="David"/>
          <w:sz w:val="24"/>
          <w:szCs w:val="24"/>
          <w:rtl/>
        </w:rPr>
        <w:t xml:space="preserve">ט"ז באב תשפ"ו, 30 ביולי 2026</w:t>
      </w:r>
    </w:p>
    <w:p>
      <w:pPr>
        <w:sectPr>
          <w:pgSz w:w="11906" w:h="16838" w:orient="portrait"/>
          <w:pgMar w:top="1440" w:right="1440" w:bottom="1440" w:left="1440" w:header="708" w:footer="708" w:gutter="0"/>
          <w:pgNumType/>
          <w:docGrid w:linePitch="360"/>
        </w:sectPr>
      </w:pPr>
    </w:p>
    <w:p>
      <w:pPr>
        <w:bidi/>
        <w:spacing w:after="120" w:before="0" w:line="360"/>
        <w:jc w:val="both"/>
      </w:pPr>
      <w:r>
        <w:rPr>
          <w:rFonts w:ascii="David" w:cs="David" w:eastAsia="David" w:hAnsi="David"/>
          <w:sz w:val="24"/>
          <w:szCs w:val="24"/>
          <w:rtl/>
        </w:rPr>
        <w:t xml:space="preserve">מוגבלות שאינה נראית מציבה בפני מי שחי איתה שאלה שחוזרת בכל מפגש חדש: האם לספר, למי, ובאיזה עיתוי. ההחלטה אינה נעשית פעם אחת ולתמיד, והיא נגזרת מהקהל, מהסיטואציה ומההקשר (ושלר, 2026). העבודה בוחנת את השאלה הזאת דרך אזה הולמס, המספרת ברומן</w:t>
      </w:r>
      <w:r>
        <w:rPr>
          <w:rFonts w:ascii="David" w:cs="David" w:eastAsia="David" w:hAnsi="David"/>
          <w:i/>
          <w:iCs/>
          <w:sz w:val="24"/>
          <w:szCs w:val="24"/>
          <w:rtl/>
        </w:rPr>
        <w:t xml:space="preserve"> צבים עד למטה</w:t>
      </w:r>
      <w:r>
        <w:rPr>
          <w:rFonts w:ascii="David" w:cs="David" w:eastAsia="David" w:hAnsi="David"/>
          <w:sz w:val="24"/>
          <w:szCs w:val="24"/>
          <w:rtl/>
        </w:rPr>
        <w:t xml:space="preserve"> של ג'ון גרין (</w:t>
      </w:r>
      <w:r>
        <w:rPr>
          <w:rFonts w:ascii="Times New Roman" w:cs="Times New Roman" w:eastAsia="Times New Roman" w:hAnsi="Times New Roman"/>
          <w:sz w:val="24"/>
          <w:szCs w:val="24"/>
        </w:rPr>
        <w:t xml:space="preserve">Green</w:t>
      </w:r>
      <w:r>
        <w:rPr>
          <w:rFonts w:ascii="David" w:cs="David" w:eastAsia="David" w:hAnsi="David"/>
          <w:sz w:val="24"/>
          <w:szCs w:val="24"/>
          <w:rtl/>
        </w:rPr>
        <w:t xml:space="preserve">, 2017), נערה בת שש-עשרה המתמודדת עם הפרעה טורדנית-כפייתית.</w:t>
      </w:r>
    </w:p>
    <w:p>
      <w:pPr>
        <w:keepNext/>
        <w:bidi/>
        <w:spacing w:after="80" w:before="200" w:line="360"/>
        <w:jc w:val="right"/>
      </w:pPr>
      <w:r>
        <w:rPr>
          <w:rFonts w:ascii="David" w:cs="David" w:eastAsia="David" w:hAnsi="David"/>
          <w:b/>
          <w:bCs/>
          <w:sz w:val="24"/>
          <w:szCs w:val="24"/>
          <w:rtl/>
        </w:rPr>
        <w:t xml:space="preserve">1. הצגת הדמות והמוגבלות</w:t>
      </w:r>
    </w:p>
    <w:p>
      <w:pPr>
        <w:bidi/>
        <w:spacing w:after="120" w:before="0" w:line="360"/>
        <w:jc w:val="both"/>
      </w:pPr>
      <w:r>
        <w:rPr>
          <w:rFonts w:ascii="David" w:cs="David" w:eastAsia="David" w:hAnsi="David"/>
          <w:sz w:val="24"/>
          <w:szCs w:val="24"/>
          <w:rtl/>
        </w:rPr>
        <w:t xml:space="preserve">אזה הולמס היא דמות בדיונית, גיבורת הרומן</w:t>
      </w:r>
      <w:r>
        <w:rPr>
          <w:rFonts w:ascii="David" w:cs="David" w:eastAsia="David" w:hAnsi="David"/>
          <w:i/>
          <w:iCs/>
          <w:sz w:val="24"/>
          <w:szCs w:val="24"/>
          <w:rtl/>
        </w:rPr>
        <w:t xml:space="preserve"> צבים עד למטה</w:t>
      </w:r>
      <w:r>
        <w:rPr>
          <w:rFonts w:ascii="David" w:cs="David" w:eastAsia="David" w:hAnsi="David"/>
          <w:sz w:val="24"/>
          <w:szCs w:val="24"/>
          <w:rtl/>
        </w:rPr>
        <w:t xml:space="preserve"> שראה אור ב-2017. כל המידע על הדמות נלקח מן הרומן עצמו, הכתוב בגוף ראשון מתוך התודעה שלה ובלי מספר חיצוני שמסביר אותה לקורא (</w:t>
      </w:r>
      <w:r>
        <w:rPr>
          <w:rFonts w:ascii="Times New Roman" w:cs="Times New Roman" w:eastAsia="Times New Roman" w:hAnsi="Times New Roman"/>
          <w:sz w:val="24"/>
          <w:szCs w:val="24"/>
        </w:rPr>
        <w:t xml:space="preserve">Green</w:t>
      </w:r>
      <w:r>
        <w:rPr>
          <w:rFonts w:ascii="David" w:cs="David" w:eastAsia="David" w:hAnsi="David"/>
          <w:sz w:val="24"/>
          <w:szCs w:val="24"/>
          <w:rtl/>
        </w:rPr>
        <w:t xml:space="preserve">, 2017). לבחירה הנרטיבית הזאת יש משקל בהערכת הייצוג בהמשך.</w:t>
      </w:r>
    </w:p>
    <w:p>
      <w:pPr>
        <w:bidi/>
        <w:spacing w:after="120" w:before="0" w:line="360"/>
        <w:jc w:val="both"/>
      </w:pPr>
      <w:r>
        <w:rPr>
          <w:rFonts w:ascii="David" w:cs="David" w:eastAsia="David" w:hAnsi="David"/>
          <w:sz w:val="24"/>
          <w:szCs w:val="24"/>
          <w:rtl/>
        </w:rPr>
        <w:t xml:space="preserve">אזה תלמידת תיכון באינדיאנפוליס. אביה מת ממחלת לב בילדותה, ואמה מלמדת מתמטיקה באותו בית ספר שבו היא לומדת. ההתמודדות המרכזית שלה היא מחשבות טורדניות סביב זיהום חיידקי, ובפרט חרדה מהחיידק </w:t>
      </w:r>
      <w:r>
        <w:rPr>
          <w:rFonts w:ascii="Times New Roman" w:cs="Times New Roman" w:eastAsia="Times New Roman" w:hAnsi="Times New Roman"/>
          <w:sz w:val="24"/>
          <w:szCs w:val="24"/>
        </w:rPr>
        <w:t xml:space="preserve">Clostridium difficile.</w:t>
      </w:r>
      <w:r>
        <w:rPr>
          <w:rFonts w:ascii="David" w:cs="David" w:eastAsia="David" w:hAnsi="David"/>
          <w:sz w:val="24"/>
          <w:szCs w:val="24"/>
          <w:rtl/>
        </w:rPr>
        <w:t xml:space="preserve"> המחשבות מתוארות ברומן כספירלה שמצטמצמת סביב עצמה ואינה מותירה לה מקום. כדי להשתיק אותן היא פותחת שוב ושוב פצע קטן בקצה האצבע ומחליפה עליו פלסטר, ובאחד השלבים אף שותה חומר חיטוי לידיים (</w:t>
      </w:r>
      <w:r>
        <w:rPr>
          <w:rFonts w:ascii="Times New Roman" w:cs="Times New Roman" w:eastAsia="Times New Roman" w:hAnsi="Times New Roman"/>
          <w:sz w:val="24"/>
          <w:szCs w:val="24"/>
        </w:rPr>
        <w:t xml:space="preserve">Green</w:t>
      </w:r>
      <w:r>
        <w:rPr>
          <w:rFonts w:ascii="David" w:cs="David" w:eastAsia="David" w:hAnsi="David"/>
          <w:sz w:val="24"/>
          <w:szCs w:val="24"/>
          <w:rtl/>
        </w:rPr>
        <w:t xml:space="preserve">, 2017).</w:t>
      </w:r>
    </w:p>
    <w:p>
      <w:pPr>
        <w:bidi/>
        <w:spacing w:after="120" w:before="0" w:line="360"/>
        <w:jc w:val="both"/>
      </w:pPr>
      <w:r>
        <w:rPr>
          <w:rFonts w:ascii="David" w:cs="David" w:eastAsia="David" w:hAnsi="David"/>
          <w:sz w:val="24"/>
          <w:szCs w:val="24"/>
          <w:rtl/>
        </w:rPr>
        <w:t xml:space="preserve">כלפי חוץ לא רואים דבר. אזה תלמידה טובה, יש לה חברה קרובה, היא יוצאת לדייטים ומגיעה בזמן לשיעורים. הסימן הגלוי היחיד הוא הפלסטר על האצבע, וגם הוא נקרא כשריטה. הפער בין החוויה הפנימית לבין מה שהסביבה רואה הוא בדיוק מה שמגדיר מוגבלות בלתי נראית, ולפער הזה השלכות על איכות החיים ועל היכולת להשיג מטרות (ושלר, 2026).</w:t>
      </w:r>
    </w:p>
    <w:p>
      <w:pPr>
        <w:bidi/>
        <w:spacing w:after="120" w:before="0" w:line="360"/>
        <w:jc w:val="both"/>
      </w:pPr>
      <w:r>
        <w:rPr>
          <w:rFonts w:ascii="David" w:cs="David" w:eastAsia="David" w:hAnsi="David"/>
          <w:sz w:val="24"/>
          <w:szCs w:val="24"/>
          <w:rtl/>
        </w:rPr>
        <w:t xml:space="preserve">היציאה מן הארון אצל אזה אינה מתרחשת בנקודה אחת. סמואלס (2016) מראה שדימוי הארון, שהושאל משיח הזהות המינית, אינו מתאים במלואו למוגבלות בלתי נראית, מפני שהחשיפה בה חלקית, תלוית הקשר וחוזרת על עצמה. אזה נעה בין המצבים שמתאר מודל שלבי החשיפה: היא עוברת בבית הספר כתלמידה ללא מוגבלות, מסתירה את מרבית מה שקורה בתוכה, ורק בפני שלושה אנשים חושפת משהו מזה (איכנגרין ואחרים, 2016).</w:t>
      </w:r>
    </w:p>
    <w:p>
      <w:pPr>
        <w:keepNext/>
        <w:bidi/>
        <w:spacing w:after="80" w:before="200" w:line="360"/>
        <w:jc w:val="right"/>
      </w:pPr>
      <w:r>
        <w:rPr>
          <w:rFonts w:ascii="David" w:cs="David" w:eastAsia="David" w:hAnsi="David"/>
          <w:b/>
          <w:bCs/>
          <w:sz w:val="24"/>
          <w:szCs w:val="24"/>
          <w:rtl/>
        </w:rPr>
        <w:t xml:space="preserve">2. ביטויים של ההתמודדות</w:t>
      </w:r>
    </w:p>
    <w:p>
      <w:pPr>
        <w:bidi/>
        <w:spacing w:after="120" w:before="0" w:line="360"/>
        <w:jc w:val="both"/>
      </w:pPr>
      <w:r>
        <w:rPr>
          <w:rFonts w:ascii="David" w:cs="David" w:eastAsia="David" w:hAnsi="David"/>
          <w:sz w:val="24"/>
          <w:szCs w:val="24"/>
          <w:rtl/>
        </w:rPr>
        <w:t xml:space="preserve">בתחום הלימודי אזה עומדת בדרישות, ומחיר העמידה סמוי. חלק מן השיעורים עוברים עליה בתוך לופ מחשבתי שאינו קשור לנעשה בכיתה, ואיש בבית הספר אינו יודע על כך. מחקר על סטודנטים עם מוגבלות בישראל מצא שרבים נמנעים מלבקש התאמות מחשש לתיוג ומתוך תפיסה שבקשת עזרה מעידה על חוסר מסוגלות (אלמוג, 2018). אזה אינה מבקשת דבר.</w:t>
      </w:r>
    </w:p>
    <w:p>
      <w:pPr>
        <w:bidi/>
        <w:spacing w:after="120" w:before="0" w:line="360"/>
        <w:jc w:val="both"/>
      </w:pPr>
      <w:r>
        <w:rPr>
          <w:rFonts w:ascii="David" w:cs="David" w:eastAsia="David" w:hAnsi="David"/>
          <w:sz w:val="24"/>
          <w:szCs w:val="24"/>
          <w:rtl/>
        </w:rPr>
        <w:t xml:space="preserve">ההשתתפות החברתית מצטמצמת גם בלי שהתקבלה החלטה מוצהרת. סיטואציות שכוללות אוכל משותף, שירותים ציבוריים או מגע פיזי הופכות אצלה לחשבון של סיכון, והיא מסננת מראש חלק מהמקומות שאליהם היא הולכת (</w:t>
      </w:r>
      <w:r>
        <w:rPr>
          <w:rFonts w:ascii="Times New Roman" w:cs="Times New Roman" w:eastAsia="Times New Roman" w:hAnsi="Times New Roman"/>
          <w:sz w:val="24"/>
          <w:szCs w:val="24"/>
        </w:rPr>
        <w:t xml:space="preserve">Green</w:t>
      </w:r>
      <w:r>
        <w:rPr>
          <w:rFonts w:ascii="David" w:cs="David" w:eastAsia="David" w:hAnsi="David"/>
          <w:sz w:val="24"/>
          <w:szCs w:val="24"/>
          <w:rtl/>
        </w:rPr>
        <w:t xml:space="preserve">, 2017). מבחוץ זה נראה כמו נערה מסויגת.</w:t>
      </w:r>
    </w:p>
    <w:p>
      <w:pPr>
        <w:bidi/>
        <w:spacing w:after="120" w:before="0" w:line="360"/>
        <w:jc w:val="both"/>
      </w:pPr>
      <w:r>
        <w:rPr>
          <w:rFonts w:ascii="David" w:cs="David" w:eastAsia="David" w:hAnsi="David"/>
          <w:sz w:val="24"/>
          <w:szCs w:val="24"/>
          <w:rtl/>
        </w:rPr>
        <w:t xml:space="preserve">בקשרים החברתיים ההתמודדות בולטת יותר. דייזי, חברתה הקרובה, כותבת סיפורים בהשראת מלחמת הכוכבים, ובאחד מהם מופיעה דמות שנבנתה על אזה: חברה שקועה בעצמה שמעמיסה על הסובבים אותה. כשאזה קוראת את הסיפור מתפרצת ביניהן מחלוקת שמסתיימת בתאונת דרכים. הרגע הזה מדגים את הביקורת על ההסתרה שמתעוררת ביחסי חברות, כאשר הסביבה מפרשת התנהגות לא כמוגבלות אלא כתכונת אופי (ושלר, 2026).</w:t>
      </w:r>
    </w:p>
    <w:p>
      <w:pPr>
        <w:bidi/>
        <w:spacing w:after="120" w:before="0" w:line="360"/>
        <w:jc w:val="both"/>
      </w:pPr>
      <w:r>
        <w:rPr>
          <w:rFonts w:ascii="David" w:cs="David" w:eastAsia="David" w:hAnsi="David"/>
          <w:sz w:val="24"/>
          <w:szCs w:val="24"/>
          <w:rtl/>
        </w:rPr>
        <w:t xml:space="preserve">ביחסים הזוגיים עם דייוויס החשיפה נעשית בטיפות. אזה מתקשה בקרבה פיזית מפני שהמחשבות על חיידקים משתלטות עליה בדיוק ברגעים האלה, והיא מתלבטת מה לספר ומתי. הדילמה הזאת אינה ספרותית בלבד. אנשים המתמודדים עם מוגבלות נפשית שוקלים מול כל אדם מחדש את הסיכון שבחשיפה מול המחיר שבשתיקה, ואין בידיהם מידע כיצד תתקבל (נעמן ואחרים, 2017).</w:t>
      </w:r>
    </w:p>
    <w:p>
      <w:pPr>
        <w:bidi/>
        <w:spacing w:after="120" w:before="0" w:line="360"/>
        <w:jc w:val="both"/>
      </w:pPr>
      <w:r>
        <w:rPr>
          <w:rFonts w:ascii="David" w:cs="David" w:eastAsia="David" w:hAnsi="David"/>
          <w:sz w:val="24"/>
          <w:szCs w:val="24"/>
          <w:rtl/>
        </w:rPr>
        <w:t xml:space="preserve">במשפחה, אמה של אזה נעה בין הגנת יתר לחוסר אונים. היא מכירה את האבחנה, מסיעה את בתה לטיפול פסיכולוגי ודואגת לתרופות שאזה לוקחת באופן לא סדיר. ההתמדה החלקית בטיפול מתקשרת לסטיגמה המופנמת שטל (2007) מתאר: כשאדם מאמץ את העמדות השליליות של החברה כלפי מוגבלות נפשית, נטילת התרופה הופכת לאישור יומי של הזהות שהוא מנסה לדחות.</w:t>
      </w:r>
    </w:p>
    <w:p>
      <w:pPr>
        <w:bidi/>
        <w:spacing w:after="120" w:before="0" w:line="360"/>
        <w:jc w:val="both"/>
      </w:pPr>
      <w:r>
        <w:rPr>
          <w:rFonts w:ascii="David" w:cs="David" w:eastAsia="David" w:hAnsi="David"/>
          <w:sz w:val="24"/>
          <w:szCs w:val="24"/>
          <w:rtl/>
        </w:rPr>
        <w:t xml:space="preserve">הקושי החמור ביותר שאינו נראה מבחוץ אינו הפצע באצבע. זו השאלה אם היא בעלת בית במחשבותיה שלה. פינקלשטיין (2014) תיארה אצל נשים עם מחלות כרוניות תחושת קיום בעולם שאינו מכיר בסבלן, שבו עמימות רפואית והכחשה חברתית מייצרות ספק בעצם אמינות החוויה. אזה מגיעה למקום דומה, בלי שאיש בסביבתה הבית ספרית מזהה זאת.</w:t>
      </w:r>
    </w:p>
    <w:p>
      <w:pPr>
        <w:keepNext/>
        <w:bidi/>
        <w:spacing w:after="80" w:before="200" w:line="360"/>
        <w:jc w:val="right"/>
      </w:pPr>
      <w:r>
        <w:rPr>
          <w:rFonts w:ascii="David" w:cs="David" w:eastAsia="David" w:hAnsi="David"/>
          <w:b/>
          <w:bCs/>
          <w:sz w:val="24"/>
          <w:szCs w:val="24"/>
          <w:rtl/>
        </w:rPr>
        <w:t xml:space="preserve">3. ניתוח ביקורתי</w:t>
      </w:r>
    </w:p>
    <w:p>
      <w:pPr>
        <w:bidi/>
        <w:spacing w:after="120" w:before="0" w:line="360"/>
        <w:jc w:val="both"/>
      </w:pPr>
      <w:r>
        <w:rPr>
          <w:rFonts w:ascii="David" w:cs="David" w:eastAsia="David" w:hAnsi="David"/>
          <w:sz w:val="24"/>
          <w:szCs w:val="24"/>
          <w:rtl/>
        </w:rPr>
        <w:t xml:space="preserve">הייצוג ברומן חזק בשני מקומות. הוא מציג הפרעה טורדנית-כפייתית כמחשבות טורדניות וכחרדה, ולא כאהבת סדר וניקיון. הסטריאוטיפ התקשורתי הנפוץ, של הדמות הקפדנית והמשעשעת שמיישרת עפרונות, נעדר כאן לחלוטין. בנוסף, העלילה מסרבת לפתרון שבו האהבה מרפאה. אזה ודייוויס נפרדים, וההתמודדות נמשכת מעבר לסוף הספר (</w:t>
      </w:r>
      <w:r>
        <w:rPr>
          <w:rFonts w:ascii="Times New Roman" w:cs="Times New Roman" w:eastAsia="Times New Roman" w:hAnsi="Times New Roman"/>
          <w:sz w:val="24"/>
          <w:szCs w:val="24"/>
        </w:rPr>
        <w:t xml:space="preserve">Green</w:t>
      </w:r>
      <w:r>
        <w:rPr>
          <w:rFonts w:ascii="David" w:cs="David" w:eastAsia="David" w:hAnsi="David"/>
          <w:sz w:val="24"/>
          <w:szCs w:val="24"/>
          <w:rtl/>
        </w:rPr>
        <w:t xml:space="preserve">, 2017).</w:t>
      </w:r>
    </w:p>
    <w:p>
      <w:pPr>
        <w:bidi/>
        <w:spacing w:after="120" w:before="0" w:line="360"/>
        <w:jc w:val="both"/>
      </w:pPr>
      <w:r>
        <w:rPr>
          <w:rFonts w:ascii="David" w:cs="David" w:eastAsia="David" w:hAnsi="David"/>
          <w:sz w:val="24"/>
          <w:szCs w:val="24"/>
          <w:rtl/>
        </w:rPr>
        <w:t xml:space="preserve">ובכל זאת לייצוג יש מגבלות. ההתמודדות משובצת בתוך עלילת מסתורין ורומן נעורים, ולכן היא נדרשת לעתים לשרת את המבנה הדרמטי. התאונה מגיעה בשיא הסיפור ואחריה האשפוז, כאילו מוגבלות בלתי נראית חייבת להפוך לרגע אחד גלוי כדי שהקורא יאמין לה. מעבר לכך, לאזה יש משאבים שלרוב האנשים אין: פסיכולוגית קבועה, אם שמאמינה לה ואמצעים לשלם. שאלת הנגישות, ההתאמות והזכויות כמעט אינה נוכחת בספר, וזה חסר מהותי בייצוג של מוגבלות. יש כאן גם פרדוקס שסמואלס (2016) מצביעה עליו: טקסט שכולו חשיפה מפורטת של חוויה פנימית עלול לחזק דווקא את הציפייה שאדם עם מוגבלות בלתי נראית יסביר את עצמו עד הסוף כדי שיאמינו לו.</w:t>
      </w:r>
    </w:p>
    <w:p>
      <w:pPr>
        <w:bidi/>
        <w:spacing w:after="120" w:before="0" w:line="360"/>
        <w:jc w:val="both"/>
      </w:pPr>
      <w:r>
        <w:rPr>
          <w:rFonts w:ascii="David" w:cs="David" w:eastAsia="David" w:hAnsi="David"/>
          <w:sz w:val="24"/>
          <w:szCs w:val="24"/>
          <w:rtl/>
        </w:rPr>
        <w:t xml:space="preserve">מה שהקורא לומד תלוי בקריאה. הלמידה המשמעותית היא שתפקוד חיצוני אינו מדד לסבל, ושמשפט כמו "היא נראית בסדר" אינו מידע. הסיכון הוא שקורא יקח את אזה כדגם של הפרעה טורדנית-כפייתית בכלל, וימדוד לפיה תלמידים שההתמודדות שלהם נראית אחרת לגמרי.</w:t>
      </w:r>
    </w:p>
    <w:p>
      <w:pPr>
        <w:keepNext/>
        <w:bidi/>
        <w:spacing w:after="80" w:before="200" w:line="360"/>
        <w:jc w:val="right"/>
      </w:pPr>
      <w:r>
        <w:rPr>
          <w:rFonts w:ascii="David" w:cs="David" w:eastAsia="David" w:hAnsi="David"/>
          <w:b/>
          <w:bCs/>
          <w:sz w:val="24"/>
          <w:szCs w:val="24"/>
          <w:rtl/>
        </w:rPr>
        <w:t xml:space="preserve">4. רפלקציה מקצועית</w:t>
      </w:r>
    </w:p>
    <w:p>
      <w:pPr>
        <w:bidi/>
        <w:spacing w:after="120" w:before="0" w:line="360"/>
        <w:jc w:val="both"/>
      </w:pPr>
      <w:r>
        <w:rPr>
          <w:rFonts w:ascii="David" w:cs="David" w:eastAsia="David" w:hAnsi="David"/>
          <w:sz w:val="24"/>
          <w:szCs w:val="24"/>
          <w:rtl/>
        </w:rPr>
        <w:t xml:space="preserve">אם תלמידה כמו אזה הייתה מגיעה לכיתה שלנו, סביר שלא היינו יודעות דבר. זו נקודת הפתיחה שצריכה להנחות אותנו, ומכאן נגזרות כמה החלטות מעשיות.</w:t>
      </w:r>
    </w:p>
    <w:p>
      <w:pPr>
        <w:bidi/>
        <w:spacing w:after="120" w:before="0" w:line="360"/>
        <w:jc w:val="both"/>
      </w:pPr>
      <w:r>
        <w:rPr>
          <w:rFonts w:ascii="David" w:cs="David" w:eastAsia="David" w:hAnsi="David"/>
          <w:sz w:val="24"/>
          <w:szCs w:val="24"/>
          <w:rtl/>
        </w:rPr>
        <w:t xml:space="preserve">ראשית, לא לחכות לחשיפה כדי להנגיש. החסם שתואר אצל סטודנטים עם מוגבלות בישראל, שלפיו בקשת התאמה נתפסת כהודאה בחוסר מסוגלות (אלמוג, 2018), נחלש כשההתאמה אינה מחייבת בקשה אישית. מנגנונים שנבנים מראש לכל התלמידים מייתרים את הצורך להסביר את עצמו: אפשרות לצאת מהכיתה בלי לבקש רשות ובלי לפרט למה, הימנעות מקריאה בקול בהפתעה, זמן נוסף כברירת מחדל במשימות כתיבה. תלמידה שאינה נדרשת להסביר אינה נדרשת לבחור בין חשיפה לוויתור.</w:t>
      </w:r>
    </w:p>
    <w:p>
      <w:pPr>
        <w:bidi/>
        <w:spacing w:after="120" w:before="0" w:line="360"/>
        <w:jc w:val="both"/>
      </w:pPr>
      <w:r>
        <w:rPr>
          <w:rFonts w:ascii="David" w:cs="David" w:eastAsia="David" w:hAnsi="David"/>
          <w:sz w:val="24"/>
          <w:szCs w:val="24"/>
          <w:rtl/>
        </w:rPr>
        <w:t xml:space="preserve">שנית, כשחשיפה כן מגיעה, לשמור עליה. אזה חשפה בפני שלושה אנשים בלבד, ולא בגלל חוסר אמון בצוות. חשיפה בפני מחנכת אינה אישור להעביר את המידע לחדר המורים. ההסכמה צריכה להיות מפורשת ולנקוב בשמות: מי יידע, מה בדיוק ייאמר, ומה לא ייאמר. בתי ספר רגילים לראות בשיתוף מידע ערך מקצועי, וכאן שיתוף בלי הסכמה הוא הפרה.</w:t>
      </w:r>
    </w:p>
    <w:p>
      <w:pPr>
        <w:bidi/>
        <w:spacing w:after="120" w:before="0" w:line="360"/>
        <w:jc w:val="both"/>
      </w:pPr>
      <w:r>
        <w:rPr>
          <w:rFonts w:ascii="David" w:cs="David" w:eastAsia="David" w:hAnsi="David"/>
          <w:sz w:val="24"/>
          <w:szCs w:val="24"/>
          <w:rtl/>
        </w:rPr>
        <w:t xml:space="preserve">שלישית, כלי אחד וקונקרטי. פתק התמודדות שנכתב יחד עם התלמידה ובו שלוש שורות: מה קורה לי כשקשה, מה כן לעשות, מה לא לעשות. הפתק נשמר אצל איש צוות אחד שהיא בחרה ומתעדכן פעם בסמסטר. הוא מייתר את הצורך להסביר בזמן אמת, בדיוק ברגע שבו אין לה פניות להסביר.</w:t>
      </w:r>
    </w:p>
    <w:p>
      <w:pPr>
        <w:bidi/>
        <w:spacing w:after="120" w:before="0" w:line="360"/>
        <w:jc w:val="both"/>
      </w:pPr>
      <w:r>
        <w:rPr>
          <w:rFonts w:ascii="David" w:cs="David" w:eastAsia="David" w:hAnsi="David"/>
          <w:sz w:val="24"/>
          <w:szCs w:val="24"/>
          <w:rtl/>
        </w:rPr>
        <w:t xml:space="preserve">רביעית, לא לשכוח את הסביבה. דייזי לא הייתה אויבת, היא הייתה נערה בת שש-עשרה שנשאה לבד משהו שלא הבינה. בית ספר שמלמד את כלל תלמידיו שמוגבלות אינה בהכרח נראית מקטין את הסיכוי שהתנהגות של תלמידה תיקרא כאגואיזם, ואפשר לעשות זאת בלי לדבר על אף תלמיד ספציפי.</w:t>
      </w:r>
    </w:p>
    <w:p>
      <w:pPr>
        <w:bidi/>
        <w:spacing w:after="0" w:before="0" w:line="360"/>
        <w:jc w:val="both"/>
      </w:pPr>
      <w:r>
        <w:rPr>
          <w:rFonts w:ascii="David" w:cs="David" w:eastAsia="David" w:hAnsi="David"/>
          <w:sz w:val="24"/>
          <w:szCs w:val="24"/>
          <w:rtl/>
        </w:rPr>
        <w:t xml:space="preserve">מה שאנשי ונשות חינוך צריכים לדעת אינו רשימת אבחנות. הם צריכים לדעת שהחשיפה היא תהליך ספירלי שמתרחש בכל פעם מחדש ולא הישג חד-פעמי (ושלר, 2026), ושאי-חשיפה אינה חוסר שיתוף פעולה. והם צריכים לדעת שהשפה שבה מדברים על תלמידה בישיבת צוות היא כבר חלק מהיחס אליה. לכן נאמר תלמידה המתמודדת עם הפרעה טורדנית-כפייתית, ולא נגזור ממנה שם תואר.</w:t>
      </w:r>
    </w:p>
    <w:p>
      <w:r>
        <w:br w:type="page"/>
      </w:r>
    </w:p>
    <w:p>
      <w:pPr>
        <w:bidi/>
        <w:spacing w:after="240" w:line="360"/>
        <w:jc w:val="center"/>
      </w:pPr>
      <w:r>
        <w:rPr>
          <w:rFonts w:ascii="David" w:cs="David" w:eastAsia="David" w:hAnsi="David"/>
          <w:b/>
          <w:bCs/>
          <w:sz w:val="24"/>
          <w:szCs w:val="24"/>
          <w:rtl/>
        </w:rPr>
        <w:t xml:space="preserve">רשימת מקורות</w:t>
      </w:r>
    </w:p>
    <w:p>
      <w:pPr>
        <w:bidi/>
        <w:spacing w:after="120" w:line="360"/>
        <w:ind w:right="709" w:hanging="709"/>
        <w:jc w:val="right"/>
      </w:pPr>
      <w:r>
        <w:rPr>
          <w:rFonts w:ascii="David" w:cs="David" w:eastAsia="David" w:hAnsi="David"/>
          <w:sz w:val="24"/>
          <w:szCs w:val="24"/>
          <w:rtl/>
        </w:rPr>
        <w:t xml:space="preserve">איכנגרין, א', אלמוג, נ', וברויאר, נ' (2016). ארון הנכות: לצאת, להישאר או לפרק. בתוך ש' מור, נ' זיו, א' קנטר, א' איכנגרין, ונ' מזרחי (עורכים),</w:t>
      </w:r>
      <w:r>
        <w:rPr>
          <w:rFonts w:ascii="David" w:cs="David" w:eastAsia="David" w:hAnsi="David"/>
          <w:i/>
          <w:iCs/>
          <w:sz w:val="24"/>
          <w:szCs w:val="24"/>
          <w:rtl/>
        </w:rPr>
        <w:t xml:space="preserve"> לימודי מוגבלות: מקראה</w:t>
      </w:r>
      <w:r>
        <w:rPr>
          <w:rFonts w:ascii="David" w:cs="David" w:eastAsia="David" w:hAnsi="David"/>
          <w:sz w:val="24"/>
          <w:szCs w:val="24"/>
          <w:rtl/>
        </w:rPr>
        <w:t xml:space="preserve"> (עמ' 492-498). מכון ון ליר והקיבוץ המאוחד.</w:t>
      </w:r>
    </w:p>
    <w:p>
      <w:pPr>
        <w:bidi/>
        <w:spacing w:after="120" w:line="360"/>
        <w:ind w:right="709" w:hanging="709"/>
        <w:jc w:val="right"/>
      </w:pPr>
      <w:r>
        <w:rPr>
          <w:rFonts w:ascii="David" w:cs="David" w:eastAsia="David" w:hAnsi="David"/>
          <w:sz w:val="24"/>
          <w:szCs w:val="24"/>
          <w:rtl/>
        </w:rPr>
        <w:t xml:space="preserve">אלמוג, נ' (2018). "משהו כאן עוצר אותי": סטודנטים עם מוגבלויות בישראל, מדיניות, שיח ופרקטיקה.</w:t>
      </w:r>
      <w:r>
        <w:rPr>
          <w:rFonts w:ascii="David" w:cs="David" w:eastAsia="David" w:hAnsi="David"/>
          <w:i/>
          <w:iCs/>
          <w:sz w:val="24"/>
          <w:szCs w:val="24"/>
          <w:rtl/>
        </w:rPr>
        <w:t xml:space="preserve"> קשת: כתב עת למדעי הרוח והחברה, 2</w:t>
      </w:r>
      <w:r>
        <w:rPr>
          <w:rFonts w:ascii="David" w:cs="David" w:eastAsia="David" w:hAnsi="David"/>
          <w:sz w:val="24"/>
          <w:szCs w:val="24"/>
          <w:rtl/>
        </w:rPr>
        <w:t xml:space="preserve">, 31-65.</w:t>
      </w:r>
    </w:p>
    <w:p>
      <w:pPr>
        <w:bidi/>
        <w:spacing w:after="120" w:line="360"/>
        <w:ind w:right="709" w:hanging="709"/>
        <w:jc w:val="right"/>
      </w:pPr>
      <w:r>
        <w:rPr>
          <w:rFonts w:ascii="David" w:cs="David" w:eastAsia="David" w:hAnsi="David"/>
          <w:sz w:val="24"/>
          <w:szCs w:val="24"/>
          <w:rtl/>
        </w:rPr>
        <w:t xml:space="preserve">ושלר, ד' (2026).</w:t>
      </w:r>
      <w:r>
        <w:rPr>
          <w:rFonts w:ascii="David" w:cs="David" w:eastAsia="David" w:hAnsi="David"/>
          <w:i/>
          <w:iCs/>
          <w:sz w:val="24"/>
          <w:szCs w:val="24"/>
          <w:rtl/>
        </w:rPr>
        <w:t xml:space="preserve"> מוגבלות בלתי נראית ב': חשיפת המוגבלות</w:t>
      </w:r>
      <w:r>
        <w:rPr>
          <w:rFonts w:ascii="David" w:cs="David" w:eastAsia="David" w:hAnsi="David"/>
          <w:sz w:val="24"/>
          <w:szCs w:val="24"/>
          <w:rtl/>
        </w:rPr>
        <w:t xml:space="preserve"> [מצגת הרצאה]. הקריה האקדמית אונו.</w:t>
      </w:r>
    </w:p>
    <w:p>
      <w:pPr>
        <w:bidi/>
        <w:spacing w:after="120" w:line="360"/>
        <w:ind w:right="709" w:hanging="709"/>
        <w:jc w:val="right"/>
      </w:pPr>
      <w:r>
        <w:rPr>
          <w:rFonts w:ascii="David" w:cs="David" w:eastAsia="David" w:hAnsi="David"/>
          <w:sz w:val="24"/>
          <w:szCs w:val="24"/>
          <w:rtl/>
        </w:rPr>
        <w:t xml:space="preserve">טל, א' (2007). על הסטיגמה כלפי אנשים עם מוגבלויות פסיכיאטריות. בתוך נ' הדס-לידור ומ' לכמן (עורכים),</w:t>
      </w:r>
      <w:r>
        <w:rPr>
          <w:rFonts w:ascii="David" w:cs="David" w:eastAsia="David" w:hAnsi="David"/>
          <w:i/>
          <w:iCs/>
          <w:sz w:val="24"/>
          <w:szCs w:val="24"/>
          <w:rtl/>
        </w:rPr>
        <w:t xml:space="preserve"> שיקום והחלמה בבריאות הנפש: פרקטיקה, מדיניות ומחקר</w:t>
      </w:r>
      <w:r>
        <w:rPr>
          <w:rFonts w:ascii="David" w:cs="David" w:eastAsia="David" w:hAnsi="David"/>
          <w:sz w:val="24"/>
          <w:szCs w:val="24"/>
          <w:rtl/>
        </w:rPr>
        <w:t xml:space="preserve">. ליתם.</w:t>
      </w:r>
    </w:p>
    <w:p>
      <w:pPr>
        <w:bidi/>
        <w:spacing w:after="120" w:line="360"/>
        <w:ind w:right="709" w:hanging="709"/>
        <w:jc w:val="right"/>
      </w:pPr>
      <w:r>
        <w:rPr>
          <w:rFonts w:ascii="David" w:cs="David" w:eastAsia="David" w:hAnsi="David"/>
          <w:sz w:val="24"/>
          <w:szCs w:val="24"/>
          <w:rtl/>
        </w:rPr>
        <w:t xml:space="preserve">נעמן, ע', רועה, ד', קרני-וייזר, נ', וקרניאלי-מילר, א' (2017). הדילמות בתהליך החשיפה העצמית מנקודת מבטם של אנשים המתמודדים עם סכיזופרניה.</w:t>
      </w:r>
      <w:r>
        <w:rPr>
          <w:rFonts w:ascii="David" w:cs="David" w:eastAsia="David" w:hAnsi="David"/>
          <w:i/>
          <w:iCs/>
          <w:sz w:val="24"/>
          <w:szCs w:val="24"/>
          <w:rtl/>
        </w:rPr>
        <w:t xml:space="preserve"> חברה ורווחה, לז</w:t>
      </w:r>
      <w:r>
        <w:rPr>
          <w:rFonts w:ascii="David" w:cs="David" w:eastAsia="David" w:hAnsi="David"/>
          <w:sz w:val="24"/>
          <w:szCs w:val="24"/>
          <w:rtl/>
        </w:rPr>
        <w:t xml:space="preserve">, 161-186.</w:t>
      </w:r>
    </w:p>
    <w:p>
      <w:pPr>
        <w:bidi/>
        <w:spacing w:after="120" w:line="360"/>
        <w:ind w:right="709" w:hanging="709"/>
        <w:jc w:val="right"/>
      </w:pPr>
      <w:r>
        <w:rPr>
          <w:rFonts w:ascii="David" w:cs="David" w:eastAsia="David" w:hAnsi="David"/>
          <w:sz w:val="24"/>
          <w:szCs w:val="24"/>
          <w:rtl/>
        </w:rPr>
        <w:t xml:space="preserve">סמואלס, א' (2016). הגוף שלי הארון שלי: מוגבלות בלתי נראית וגבולות שיח היציאה מהארון. בתוך ש' מור, נ' זיו, א' קנטר, א' איכנגרין, ונ' מזרחי (עורכים),</w:t>
      </w:r>
      <w:r>
        <w:rPr>
          <w:rFonts w:ascii="David" w:cs="David" w:eastAsia="David" w:hAnsi="David"/>
          <w:i/>
          <w:iCs/>
          <w:sz w:val="24"/>
          <w:szCs w:val="24"/>
          <w:rtl/>
        </w:rPr>
        <w:t xml:space="preserve"> לימודי מוגבלות: מקראה</w:t>
      </w:r>
      <w:r>
        <w:rPr>
          <w:rFonts w:ascii="David" w:cs="David" w:eastAsia="David" w:hAnsi="David"/>
          <w:sz w:val="24"/>
          <w:szCs w:val="24"/>
          <w:rtl/>
        </w:rPr>
        <w:t xml:space="preserve"> (עמ' 492-498). מכון ון ליר והקיבוץ המאוחד.</w:t>
      </w:r>
    </w:p>
    <w:p>
      <w:pPr>
        <w:bidi/>
        <w:spacing w:after="120" w:line="360"/>
        <w:ind w:right="709" w:hanging="709"/>
        <w:jc w:val="right"/>
      </w:pPr>
      <w:r>
        <w:rPr>
          <w:rFonts w:ascii="David" w:cs="David" w:eastAsia="David" w:hAnsi="David"/>
          <w:sz w:val="24"/>
          <w:szCs w:val="24"/>
          <w:rtl/>
        </w:rPr>
        <w:t xml:space="preserve">פינקלשטיין, ע' (2014). "אנחנו חיים בעולם האין": נשים חולות מדברות מתוך סבל גופני על עמימות רפואית והכחשה חברתית.</w:t>
      </w:r>
      <w:r>
        <w:rPr>
          <w:rFonts w:ascii="David" w:cs="David" w:eastAsia="David" w:hAnsi="David"/>
          <w:i/>
          <w:iCs/>
          <w:sz w:val="24"/>
          <w:szCs w:val="24"/>
          <w:rtl/>
        </w:rPr>
        <w:t xml:space="preserve"> סוציולוגיה ישראלית, (2)</w:t>
      </w:r>
      <w:r>
        <w:rPr>
          <w:rFonts w:ascii="David" w:cs="David" w:eastAsia="David" w:hAnsi="David"/>
          <w:sz w:val="24"/>
          <w:szCs w:val="24"/>
          <w:rtl/>
        </w:rPr>
        <w:t xml:space="preserve">, 389-415.</w:t>
      </w:r>
    </w:p>
    <w:p>
      <w:pPr>
        <w:bidi w:val="false"/>
        <w:spacing w:after="120" w:line="360"/>
        <w:ind w:left="709" w:hanging="709"/>
        <w:jc w:val="left"/>
      </w:pPr>
      <w:r>
        <w:rPr>
          <w:rFonts w:ascii="Times New Roman" w:cs="Times New Roman" w:eastAsia="Times New Roman" w:hAnsi="Times New Roman"/>
          <w:sz w:val="24"/>
          <w:szCs w:val="24"/>
        </w:rPr>
        <w:t xml:space="preserve">Green, J. (2017).</w:t>
      </w:r>
      <w:r>
        <w:rPr>
          <w:rFonts w:ascii="Times New Roman" w:cs="Times New Roman" w:eastAsia="Times New Roman" w:hAnsi="Times New Roman"/>
          <w:i/>
          <w:iCs/>
          <w:sz w:val="24"/>
          <w:szCs w:val="24"/>
        </w:rPr>
        <w:t xml:space="preserve"> Turtles all the way down</w:t>
      </w:r>
      <w:r>
        <w:rPr>
          <w:rFonts w:ascii="Times New Roman" w:cs="Times New Roman" w:eastAsia="Times New Roman" w:hAnsi="Times New Roman"/>
          <w:sz w:val="24"/>
          <w:szCs w:val="24"/>
        </w:rPr>
        <w:t xml:space="preserve">. Dutton Books.</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pPr>
        <w:bidi/>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2026-07-30T03:15:15.406Z</dcterms:created>
  <dcterms:modified xsi:type="dcterms:W3CDTF">2026-07-30T03:15:15.407Z</dcterms:modified>
</cp:coreProperties>
</file>

<file path=docProps/custom.xml><?xml version="1.0" encoding="utf-8"?>
<Properties xmlns="http://schemas.openxmlformats.org/officeDocument/2006/custom-properties" xmlns:vt="http://schemas.openxmlformats.org/officeDocument/2006/docPropsVTypes"/>
</file>