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cs="David"/>
          <w:b/>
          <w:bCs/>
          <w:sz w:val="28"/>
          <w:szCs w:val="28"/>
          <w:rtl w:val="1"/>
        </w:rPr>
        <w:t>עבודה מסכמת בקורס “נוער בסיכון: נושאים מתקדמים”</w:t>
      </w:r>
    </w:p>
    <w:p>
      <w:pPr>
        <w:spacing w:line="360" w:lineRule="auto" w:before="0" w:after="40"/>
        <w:jc w:val="center"/>
        <w:bidi w:val="1"/>
      </w:pPr>
      <w:r>
        <w:rPr>
          <w:rFonts w:ascii="David" w:hAnsi="David" w:cs="David"/>
          <w:sz w:val="24"/>
          <w:szCs w:val="24"/>
          <w:rtl w:val="1"/>
        </w:rPr>
        <w:t>מרצה: אתי אנשל  |  סמסטר ב′, תשפ“ו</w:t>
      </w:r>
    </w:p>
    <w:p>
      <w:pPr>
        <w:spacing w:line="360" w:lineRule="auto" w:before="0" w:after="40"/>
        <w:jc w:val="center"/>
        <w:bidi w:val="1"/>
      </w:pPr>
      <w:r>
        <w:rPr>
          <w:rFonts w:ascii="David" w:hAnsi="David" w:cs="David"/>
          <w:sz w:val="24"/>
          <w:szCs w:val="24"/>
          <w:rtl w:val="1"/>
        </w:rPr>
        <w:t>הסרט: “מורה לחיים” (The Ron Clark Story)</w:t>
      </w:r>
    </w:p>
    <w:p>
      <w:pPr>
        <w:spacing w:line="360" w:lineRule="auto" w:before="0" w:after="200"/>
        <w:jc w:val="center"/>
        <w:bidi w:val="1"/>
      </w:pPr>
      <w:r>
        <w:rPr>
          <w:rFonts w:ascii="David" w:hAnsi="David" w:cs="David"/>
          <w:sz w:val="24"/>
          <w:szCs w:val="24"/>
          <w:rtl w:val="1"/>
        </w:rPr>
        <w:t>שם: ______________    ת“ז: ______________</w:t>
      </w:r>
    </w:p>
    <w:p>
      <w:pPr>
        <w:spacing w:line="360" w:lineRule="auto" w:before="160" w:after="80"/>
        <w:jc w:val="right"/>
        <w:bidi w:val="1"/>
      </w:pPr>
      <w:r>
        <w:rPr>
          <w:rFonts w:ascii="David" w:hAnsi="David" w:cs="David"/>
          <w:b/>
          <w:bCs/>
          <w:sz w:val="26"/>
          <w:szCs w:val="26"/>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cs="David"/>
          <w:b/>
          <w:bCs/>
          <w:sz w:val="24"/>
          <w:szCs w:val="24"/>
          <w:rtl w:val="1"/>
        </w:rPr>
        <w:t>(הדמות שבחרתי: טיישון)</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מבין מופעי ההתנהגות אפשר למנות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המופע הבולט של טיישון הוא “הרס וכיליון”. תוקפנות שלא עברה עידון וויסות הופכת להרסנות, מתוך תחושה שאין לו מה להפסיד.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cs="David"/>
          <w:b/>
          <w:bCs/>
          <w:sz w:val="24"/>
          <w:szCs w:val="24"/>
          <w:rtl w:val="1"/>
        </w:rPr>
        <w:t xml:space="preserve">ג. </w:t>
      </w:r>
      <w:r>
        <w:rPr>
          <w:rFonts w:ascii="David" w:hAnsi="David" w:cs="David"/>
          <w:sz w:val="24"/>
          <w:szCs w:val="24"/>
          <w:rtl w:val="1"/>
        </w:rPr>
        <w:t>בעולמה הפנימי של הדמות פועלים יחסי אובייקט מוקדמים של חסך ונטישה. טיישון לא זכה לאם טובה דיה, ונותר בו אותו “חור שחור” של כמיהה לא ממומשת למגע פיזי ונפשי.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וזהו ביטוי מובהק של פחד מקרבה: משחית, מתריס ומאיים לעזוב, כדי לבדוק אם כשיש למבוגר כוח וקרבה הוא ינצל אותם נגדו. ההרס הזה הוא, במונחי “הרס האובייקט” של ויניקוט, תקיפה של האובייקט המטפל מתוך משאלה שישרוד וימשיך להתקיים עבורו. ההעברה הנגדית גלויה: קלארק מגיע לרגע שפל ואומר למריסה “אני מוותר”, בדיוק הייאוש שהילד מפקיד בו דרך הזדהות השלכתית, כפי שביון מתאר את ההכלה.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cs="David"/>
          <w:b/>
          <w:bCs/>
          <w:sz w:val="26"/>
          <w:szCs w:val="26"/>
          <w:rtl w:val="1"/>
        </w:rPr>
        <w:t>שאלה 2 – אחזקה שלמה: holding ו-handling בקטע של “אתי, אם הבית”</w:t>
      </w:r>
    </w:p>
    <w:p>
      <w:pPr>
        <w:spacing w:line="360" w:lineRule="auto" w:before="0" w:after="120"/>
        <w:jc w:val="both"/>
        <w:bidi w:val="1"/>
      </w:pPr>
      <w:r>
        <w:rPr>
          <w:rFonts w:ascii="David" w:hAnsi="David" w:cs="David"/>
          <w:sz w:val="24"/>
          <w:szCs w:val="24"/>
          <w:rtl w:val="1"/>
        </w:rPr>
        <w:t>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בהבחנתו של ויניקוט בין עצמי אמיתי לעצמי כוזב.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cs="David"/>
          <w:sz w:val="24"/>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cs="David"/>
          <w:b/>
          <w:bCs/>
          <w:sz w:val="26"/>
          <w:szCs w:val="26"/>
          <w:rtl w:val="1"/>
        </w:rPr>
        <w:t>שאלה 3 – דמות איש הצוות: רון קלארק</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העיקרון המנחה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אורן-צ′יפמן ובלנרו-אדיב, 2016).</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המאפיינים המרכזיים הנדרשים מאיש 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cs="David"/>
          <w:b/>
          <w:bCs/>
          <w:sz w:val="24"/>
          <w:szCs w:val="24"/>
          <w:rtl w:val="1"/>
        </w:rPr>
        <w:t xml:space="preserve">מאפיין ראשון – היכולת ליציבות, בין עמידה לתנועה. </w:t>
      </w:r>
      <w:r>
        <w:rPr>
          <w:rFonts w:ascii="David" w:hAnsi="David" w:cs="David"/>
          <w:sz w:val="24"/>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זוהי היכולת ליציבות שבין עמידה לתנועה, עמדה פנימית ברורה ועקבית לצד גמישות והתאמה, בלי “הליכה אל הקצוות”, והצבת הגבול כאן היא “גבול כנתינה” ו“מעשה של אהבה”,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cs="David"/>
          <w:b/>
          <w:bCs/>
          <w:sz w:val="24"/>
          <w:szCs w:val="24"/>
          <w:rtl w:val="1"/>
        </w:rPr>
        <w:t xml:space="preserve">מאפיין שני – היכולת להיות משמעותי ולשאת תלות. </w:t>
      </w:r>
      <w:r>
        <w:rPr>
          <w:rFonts w:ascii="David" w:hAnsi="David" w:cs="David"/>
          <w:sz w:val="24"/>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cs="David"/>
          <w:b/>
          <w:bCs/>
          <w:sz w:val="24"/>
          <w:szCs w:val="24"/>
          <w:rtl w:val="1"/>
        </w:rPr>
        <w:t xml:space="preserve">מאפיין שלישי – היכולת להתמסר, הבחירה להעניק. </w:t>
      </w:r>
      <w:r>
        <w:rPr>
          <w:rFonts w:ascii="David" w:hAnsi="David" w:cs="David"/>
          <w:sz w:val="24"/>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cs="David"/>
          <w:b/>
          <w:bCs/>
          <w:sz w:val="24"/>
          <w:szCs w:val="24"/>
          <w:rtl w:val="1"/>
        </w:rPr>
        <w:t xml:space="preserve">ג. ומה אתי? (רפלקציה אישית). </w:t>
      </w:r>
      <w:r>
        <w:rPr>
          <w:rFonts w:ascii="David" w:hAnsi="David" w:cs="David"/>
          <w:sz w:val="24"/>
          <w:szCs w:val="24"/>
          <w:rtl w:val="1"/>
        </w:rPr>
        <w:t>[חלק זה יש להתאים אישית] המאפיין שאני מרגישה שקיים בי הוא היכולת ליציבות. גם כשמולי נער סוער אני מצליחה לרוב להחזיק את הגבול בלי להתפרק ובלי להיסחף למאבק כוחות, ולזכור שהגבול קיים גם כשהנער לא מצליח לעמוד בו. עם זאת, ככל שאני מתבוננת בעצמי אני מבחינה שהיציבות הזאת לא תמיד מגיעה ממקום רגוע. לפעמים היא באה לי דווקא מתוך צורך לשלוט, ואני לומדת להבדיל בין יציבות שנשענת על עמדה פנימית שקטה לבין קשיחות שמתחפשת לרוגע. האתגר שלי הוא לשמור על הקוטב השני, על התנועה והגמישות, בלי ליפול ל“הליכה אל הקצוות”. המאפיין שחסר לי, לפחות חלקית, הוא היכולת לשאת תלות ולהיות משמעותית. יש בי חשש אמיתי להיות הדמות שאליה נער מפנה תלות מוחלטת, ולא פעם אני מגלה שאני נסוגה אל ה-handling, אל המשימות והארגון, בדיוק ברגעים שבהם נדרשת ממני נוכחות רגשית מחזיקה. קל לי יותר לדאוג לסדר מאשר להישאר בתוך המפגש הרגשי עצמו. אני חושבת שזה קשור גם לצורך שלי בתגמול חיצוני, בהכרה ובתודה, בעוד שבעבודה עם נוער בסיכון התגמול הוא לרוב פנימי, ולעיתים אין תמורה כלל. אני גם מזהה בי מדי פעם את פנטזיית ההצלה, המשאלה להיות זו שתרפא, ואת האכזבה שמציפה אותי כשהנער דוחה דווקא את הקרבה שהצעתי. כדי לפתח את היכולת הזאת אני מבינה שאני עצמי זקוקה להיות מוחזקת, לסביבה יציבה ולהדרכה שתאפשר לי לעבד את מה שהמפגש מעורר בי (ביבי ואח′, 2016).</w:t>
      </w:r>
    </w:p>
    <w:p>
      <w:pPr>
        <w:spacing w:line="360" w:lineRule="auto" w:before="160" w:after="80"/>
        <w:jc w:val="right"/>
        <w:bidi w:val="1"/>
      </w:pPr>
      <w:r>
        <w:rPr>
          <w:rFonts w:ascii="David" w:hAnsi="David" w:cs="David"/>
          <w:b/>
          <w:bCs/>
          <w:sz w:val="26"/>
          <w:szCs w:val="26"/>
          <w:rtl w:val="1"/>
        </w:rPr>
        <w:t>שאלה 4 – שאלת רפלקציה</w:t>
      </w:r>
    </w:p>
    <w:p>
      <w:pPr>
        <w:spacing w:line="360" w:lineRule="auto" w:before="0" w:after="80"/>
        <w:jc w:val="right"/>
        <w:bidi w:val="1"/>
      </w:pPr>
      <w:r>
        <w:rPr>
          <w:rFonts w:ascii="David" w:hAnsi="David" w:cs="David"/>
          <w:b/>
          <w:bCs/>
          <w:sz w:val="22"/>
          <w:szCs w:val="22"/>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cs="David"/>
          <w:b/>
          <w:bCs/>
          <w:sz w:val="24"/>
          <w:szCs w:val="24"/>
          <w:rtl w:val="1"/>
        </w:rPr>
        <w:t xml:space="preserve">א. </w:t>
      </w:r>
      <w:r>
        <w:rPr>
          <w:rFonts w:ascii="David" w:hAnsi="David" w:cs="David"/>
          <w:b/>
          <w:bCs/>
          <w:sz w:val="24"/>
          <w:szCs w:val="24"/>
          <w:rtl w:val="1"/>
        </w:rPr>
        <w:t xml:space="preserve">מה שחידש לי. </w:t>
      </w:r>
      <w:r>
        <w:rPr>
          <w:rFonts w:ascii="David" w:hAnsi="David" w:cs="David"/>
          <w:sz w:val="24"/>
          <w:szCs w:val="24"/>
          <w:rtl w:val="1"/>
        </w:rPr>
        <w:t>ברמה התיאורטית, מה שחידש והפתיע אותי יותר מכול הוא התפיסה ש“התנהגות היא שפה”. עד הקורס נטיתי לראות התפרצות, חוצפה או הרס כ“בעיית משמעת” שיש לעצור, והיום אני שומעת מתחתם שאלה אחרת: מה הנער מנסה לספר, ואיזה חוסר מוקדם מדבר דרך ההתנהגות. במיוחד נגע בי הרעיון שההרס הוא לעיתים מבחן של הישרדות, שהנער תוקף כדי לבדוק אם אשרוד ואשאר, ושאם אעמוד בזה בלי להישבר ובלי להיעלב, דווקא אז תיפתח האפשרות לקרבה. ברמה האישית, מה שנגע לליבי הוא ההבנה עד כמה התגובות שלי לנערים נובעות מיחסי האובייקט המוקדמים שלי עצמי, ושהכעס או חוסר האונים שעולים בי במפגש אינם רק שלי, אלא לעיתים הזדהות השלכתית, מסר על עולמו הפנימי של הנער. דוגמה קונקרטית לשינוי תפיסה: מול נער שהתפרץ עליי בעבר הייתי מגיבה מיד בגבול ובעונש, מתוך העלבון; היום הייתי מנסה קודם להתכוונן ולהכיל, לזהות את החרדה שמתחת לזעם, ורק אז להציב גבול, לא כענישה אלא כמעשה מיטיב.</w:t>
      </w:r>
    </w:p>
    <w:p>
      <w:pPr>
        <w:spacing w:line="360" w:lineRule="auto" w:before="0" w:after="120"/>
        <w:jc w:val="both"/>
        <w:bidi w:val="1"/>
      </w:pPr>
      <w:r>
        <w:rPr>
          <w:rFonts w:ascii="David" w:hAnsi="David" w:cs="David"/>
          <w:b/>
          <w:bCs/>
          <w:sz w:val="24"/>
          <w:szCs w:val="24"/>
          <w:rtl w:val="1"/>
        </w:rPr>
        <w:t xml:space="preserve">ב. </w:t>
      </w:r>
      <w:r>
        <w:rPr>
          <w:rFonts w:ascii="David" w:hAnsi="David" w:cs="David"/>
          <w:b/>
          <w:bCs/>
          <w:sz w:val="24"/>
          <w:szCs w:val="24"/>
          <w:rtl w:val="1"/>
        </w:rPr>
        <w:t xml:space="preserve">הקשר בין התיאוריה לפרקטיקה. </w:t>
      </w:r>
      <w:r>
        <w:rPr>
          <w:rFonts w:ascii="David" w:hAnsi="David" w:cs="David"/>
          <w:sz w:val="24"/>
          <w:szCs w:val="24"/>
          <w:rtl w:val="1"/>
        </w:rPr>
        <w:t>הקשר בין התיאוריה לפרקטיקה נעשה עבורי מוחשי מאוד. השגרה, סדר היום והגבולות, שנראו לי פעם טכניים, מובנים לי היום כ-handling וכ-holding, כמעטפת שמעניקה לנער רציפות וביטחון, ולא כ“רעש במערכת”. אני מקשיבה אחרת גם להעברה הנגדית שלי: הרגש שמתעורר בי במפגש הפך לכלי, לרוורי שדרכו אני מנסה להבין מה הנער מפקיד בי, ומתי אני נשאבת לפנטזיית הצלה במקום פשוט לשרוד ולהישאר נוכחת. ההבנה שהמרחב עצמו, הקשר היומיומי, הוא הכלי הטיפולי המרכזי, שינתה את האופן שבו אני רואה את מה שאני עושה בכל יום.</w:t>
      </w:r>
    </w:p>
    <w:p>
      <w:pPr>
        <w:spacing w:line="360" w:lineRule="auto" w:before="0" w:after="120"/>
        <w:jc w:val="both"/>
        <w:bidi w:val="1"/>
      </w:pPr>
      <w:r>
        <w:rPr>
          <w:rFonts w:ascii="David" w:hAnsi="David" w:cs="David"/>
          <w:b/>
          <w:bCs/>
          <w:sz w:val="24"/>
          <w:szCs w:val="24"/>
          <w:rtl w:val="1"/>
        </w:rPr>
        <w:t xml:space="preserve">ג. </w:t>
      </w:r>
      <w:r>
        <w:rPr>
          <w:rFonts w:ascii="David" w:hAnsi="David" w:cs="David"/>
          <w:b/>
          <w:bCs/>
          <w:sz w:val="24"/>
          <w:szCs w:val="24"/>
          <w:rtl w:val="1"/>
        </w:rPr>
        <w:t xml:space="preserve">מה שהיה חסר. </w:t>
      </w:r>
      <w:r>
        <w:rPr>
          <w:rFonts w:ascii="David" w:hAnsi="David" w:cs="David"/>
          <w:sz w:val="24"/>
          <w:szCs w:val="24"/>
          <w:rtl w:val="1"/>
        </w:rPr>
        <w:t>הייתי רוצה שנרחיב בכלים מעשיים לרגעים של הצפה בזמן אמת, כשההכלה שלי מתמלאת והיכולת לחשוב מצטמצמת. הייתי רוצה גם מקום מובנה יותר לעבד את מה שהעבודה מעוררת בנו כאנשי צוות, אולי דרך הדרכה קבוצתית כ-on-going-process, וכן התייחסות רחבה יותר לעבודה עם ההורים ועם המערכת שסביב הנער.</w:t>
      </w:r>
    </w:p>
    <w:p>
      <w:pPr>
        <w:spacing w:line="360" w:lineRule="auto" w:before="0" w:after="120"/>
        <w:jc w:val="both"/>
        <w:bidi w:val="1"/>
      </w:pPr>
      <w:r>
        <w:rPr>
          <w:rFonts w:ascii="David" w:hAnsi="David" w:cs="David"/>
          <w:b/>
          <w:bCs/>
          <w:sz w:val="24"/>
          <w:szCs w:val="24"/>
          <w:rtl w:val="1"/>
        </w:rPr>
        <w:t xml:space="preserve">ד. </w:t>
      </w:r>
      <w:r>
        <w:rPr>
          <w:rFonts w:ascii="David" w:hAnsi="David" w:cs="David"/>
          <w:b/>
          <w:bCs/>
          <w:sz w:val="24"/>
          <w:szCs w:val="24"/>
          <w:rtl w:val="1"/>
        </w:rPr>
        <w:t xml:space="preserve">הערה לסיום. </w:t>
      </w:r>
      <w:r>
        <w:rPr>
          <w:rFonts w:ascii="David" w:hAnsi="David" w:cs="David"/>
          <w:sz w:val="24"/>
          <w:szCs w:val="24"/>
          <w:rtl w:val="1"/>
        </w:rPr>
        <w:t>מה שהשפיע עליי יותר מכול הוא ההבנה שהעבודה הפשוטה והיומיומית היא עצמה הטיפול, ושאיני צריכה להיות גיבורה שמצילה. יש בזה גם ענווה וגם הקלה: איני חייבת לסיים את המלאכה, אך גם איני חופשייה להיבטל ממנה. הקורס נתן לי שפה ומסגרת למה שחלק ממנו כבר עשיתי באינטואיציה, וזה מה שיישאר איתי (ביון, 1962; ביבי ואח′, 2016).</w:t>
      </w:r>
    </w:p>
    <w:p>
      <w:pPr>
        <w:spacing w:line="360" w:lineRule="auto" w:before="160" w:after="80"/>
        <w:jc w:val="right"/>
        <w:bidi w:val="1"/>
      </w:pPr>
      <w:r>
        <w:rPr>
          <w:rFonts w:ascii="David" w:hAnsi="David" w:cs="David"/>
          <w:b/>
          <w:bCs/>
          <w:sz w:val="26"/>
          <w:szCs w:val="26"/>
          <w:rtl w:val="1"/>
        </w:rPr>
        <w:t>רשימת מקורות</w:t>
      </w:r>
    </w:p>
    <w:p>
      <w:pPr>
        <w:spacing w:line="360" w:lineRule="auto" w:before="0" w:after="60"/>
        <w:jc w:val="right"/>
        <w:bidi w:val="1"/>
      </w:pPr>
      <w:r>
        <w:rPr>
          <w:rFonts w:ascii="David" w:hAnsi="David" w:cs="David"/>
          <w:sz w:val="22"/>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cs="David"/>
          <w:sz w:val="22"/>
          <w:szCs w:val="22"/>
          <w:rtl w:val="1"/>
        </w:rPr>
        <w:t>ביון, ו′ (1962). למידה מן הניסיון.</w:t>
      </w:r>
    </w:p>
    <w:p>
      <w:pPr>
        <w:spacing w:line="360" w:lineRule="auto" w:before="0" w:after="60"/>
        <w:jc w:val="right"/>
        <w:bidi w:val="1"/>
      </w:pPr>
      <w:r>
        <w:rPr>
          <w:rFonts w:ascii="David" w:hAnsi="David" w:cs="David"/>
          <w:sz w:val="22"/>
          <w:szCs w:val="22"/>
          <w:rtl w:val="1"/>
        </w:rPr>
        <w:t>ויניקוט, ד′ ו′ (1971). משחק ומציאות.</w:t>
      </w:r>
    </w:p>
    <w:p>
      <w:pPr>
        <w:spacing w:line="360" w:lineRule="auto" w:before="0" w:after="60"/>
        <w:jc w:val="right"/>
        <w:bidi w:val="1"/>
      </w:pPr>
      <w:r>
        <w:rPr>
          <w:rFonts w:ascii="David" w:hAnsi="David" w:cs="David"/>
          <w:sz w:val="22"/>
          <w:szCs w:val="22"/>
          <w:rtl w:val="1"/>
        </w:rPr>
        <w:t>פונגי, פ′, אלן, ג′, וביטמן, א′ (2008). טיפול מבוסס-מנטליזציה.</w:t>
      </w:r>
    </w:p>
    <w:p>
      <w:pPr>
        <w:spacing w:line="360" w:lineRule="auto" w:before="0" w:after="60"/>
        <w:jc w:val="right"/>
        <w:bidi w:val="1"/>
      </w:pPr>
      <w:r>
        <w:rPr>
          <w:rFonts w:ascii="David" w:hAnsi="David" w:cs="David"/>
          <w:sz w:val="22"/>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cs="David"/>
          <w:b/>
          <w:bCs/>
          <w:sz w:val="26"/>
          <w:szCs w:val="26"/>
          <w:rtl w:val="1"/>
        </w:rPr>
        <w:t>נספח לשאלה 2 – סימון handling ו-holding בקטע “אתי, אם הבית” (עמ′ 91–94)</w:t>
      </w:r>
    </w:p>
    <w:p>
      <w:pPr>
        <w:spacing w:line="360" w:lineRule="auto" w:before="0" w:after="120"/>
        <w:jc w:val="right"/>
        <w:bidi w:val="1"/>
      </w:pPr>
      <w:r>
        <w:rPr>
          <w:rFonts w:ascii="David" w:hAnsi="David" w:cs="David"/>
          <w:b/>
          <w:bCs/>
          <w:sz w:val="24"/>
          <w:szCs w:val="24"/>
          <w:rtl w:val="1"/>
        </w:rPr>
        <w:t xml:space="preserve">מקרא:  </w:t>
      </w:r>
      <w:r>
        <w:rPr>
          <w:rFonts w:ascii="David" w:hAnsi="David" w:cs="David"/>
          <w:sz w:val="24"/>
          <w:szCs w:val="24"/>
          <w:highlight w:val="cyan"/>
          <w:rtl w:val="1"/>
        </w:rPr>
        <w:t xml:space="preserve"> handling (ניהול פיזי / מציאות) </w:t>
      </w:r>
      <w:r>
        <w:rPr>
          <w:rFonts w:ascii="David" w:hAnsi="David" w:cs="David"/>
          <w:sz w:val="24"/>
          <w:szCs w:val="24"/>
          <w:rtl w:val="1"/>
        </w:rPr>
        <w:t xml:space="preserve">     </w:t>
      </w:r>
      <w:r>
        <w:rPr>
          <w:rFonts w:ascii="David" w:hAnsi="David" w:cs="David"/>
          <w:sz w:val="24"/>
          <w:szCs w:val="24"/>
          <w:highlight w:val="yellow"/>
          <w:rtl w:val="1"/>
        </w:rPr>
        <w:t xml:space="preserve"> holding (החזקה רגשית / משמעות) </w:t>
      </w:r>
    </w:p>
    <w:p>
      <w:pPr>
        <w:spacing w:after="80"/>
        <w:jc w:val="center"/>
      </w:pPr>
      <w:r>
        <w:drawing>
          <wp:inline xmlns:a="http://schemas.openxmlformats.org/drawingml/2006/main" xmlns:pic="http://schemas.openxmlformats.org/drawingml/2006/picture">
            <wp:extent cx="5029200" cy="7113620"/>
            <wp:docPr id="1" name="Picture 1"/>
            <wp:cNvGraphicFramePr>
              <a:graphicFrameLocks noChangeAspect="1"/>
            </wp:cNvGraphicFramePr>
            <a:graphic>
              <a:graphicData uri="http://schemas.openxmlformats.org/drawingml/2006/picture">
                <pic:pic>
                  <pic:nvPicPr>
                    <pic:cNvPr id="0" name="p91_hl.png"/>
                    <pic:cNvPicPr/>
                  </pic:nvPicPr>
                  <pic:blipFill>
                    <a:blip r:embed="rId9"/>
                    <a:stretch>
                      <a:fillRect/>
                    </a:stretch>
                  </pic:blipFill>
                  <pic:spPr>
                    <a:xfrm>
                      <a:off x="0" y="0"/>
                      <a:ext cx="5029200" cy="7113620"/>
                    </a:xfrm>
                    <a:prstGeom prst="rect"/>
                  </pic:spPr>
                </pic:pic>
              </a:graphicData>
            </a:graphic>
          </wp:inline>
        </w:drawing>
      </w:r>
    </w:p>
    <w:p>
      <w:pPr>
        <w:spacing w:after="80"/>
        <w:jc w:val="center"/>
      </w:pPr>
      <w:r>
        <w:drawing>
          <wp:inline xmlns:a="http://schemas.openxmlformats.org/drawingml/2006/main" xmlns:pic="http://schemas.openxmlformats.org/drawingml/2006/picture">
            <wp:extent cx="5029200" cy="7113620"/>
            <wp:docPr id="2" name="Picture 2"/>
            <wp:cNvGraphicFramePr>
              <a:graphicFrameLocks noChangeAspect="1"/>
            </wp:cNvGraphicFramePr>
            <a:graphic>
              <a:graphicData uri="http://schemas.openxmlformats.org/drawingml/2006/picture">
                <pic:pic>
                  <pic:nvPicPr>
                    <pic:cNvPr id="0" name="p92_hl.png"/>
                    <pic:cNvPicPr/>
                  </pic:nvPicPr>
                  <pic:blipFill>
                    <a:blip r:embed="rId10"/>
                    <a:stretch>
                      <a:fillRect/>
                    </a:stretch>
                  </pic:blipFill>
                  <pic:spPr>
                    <a:xfrm>
                      <a:off x="0" y="0"/>
                      <a:ext cx="5029200" cy="7113620"/>
                    </a:xfrm>
                    <a:prstGeom prst="rect"/>
                  </pic:spPr>
                </pic:pic>
              </a:graphicData>
            </a:graphic>
          </wp:inline>
        </w:drawing>
      </w:r>
    </w:p>
    <w:p>
      <w:pPr>
        <w:spacing w:after="80"/>
        <w:jc w:val="center"/>
      </w:pPr>
      <w:r>
        <w:drawing>
          <wp:inline xmlns:a="http://schemas.openxmlformats.org/drawingml/2006/main" xmlns:pic="http://schemas.openxmlformats.org/drawingml/2006/picture">
            <wp:extent cx="5029200" cy="7113620"/>
            <wp:docPr id="3" name="Picture 3"/>
            <wp:cNvGraphicFramePr>
              <a:graphicFrameLocks noChangeAspect="1"/>
            </wp:cNvGraphicFramePr>
            <a:graphic>
              <a:graphicData uri="http://schemas.openxmlformats.org/drawingml/2006/picture">
                <pic:pic>
                  <pic:nvPicPr>
                    <pic:cNvPr id="0" name="p93_hl.png"/>
                    <pic:cNvPicPr/>
                  </pic:nvPicPr>
                  <pic:blipFill>
                    <a:blip r:embed="rId11"/>
                    <a:stretch>
                      <a:fillRect/>
                    </a:stretch>
                  </pic:blipFill>
                  <pic:spPr>
                    <a:xfrm>
                      <a:off x="0" y="0"/>
                      <a:ext cx="5029200" cy="7113620"/>
                    </a:xfrm>
                    <a:prstGeom prst="rect"/>
                  </pic:spPr>
                </pic:pic>
              </a:graphicData>
            </a:graphic>
          </wp:inline>
        </w:drawing>
      </w:r>
    </w:p>
    <w:p>
      <w:pPr>
        <w:spacing w:after="80"/>
        <w:jc w:val="center"/>
      </w:pPr>
      <w:r>
        <w:drawing>
          <wp:inline xmlns:a="http://schemas.openxmlformats.org/drawingml/2006/main" xmlns:pic="http://schemas.openxmlformats.org/drawingml/2006/picture">
            <wp:extent cx="5029200" cy="7113620"/>
            <wp:docPr id="4" name="Picture 4"/>
            <wp:cNvGraphicFramePr>
              <a:graphicFrameLocks noChangeAspect="1"/>
            </wp:cNvGraphicFramePr>
            <a:graphic>
              <a:graphicData uri="http://schemas.openxmlformats.org/drawingml/2006/picture">
                <pic:pic>
                  <pic:nvPicPr>
                    <pic:cNvPr id="0" name="p94_hl.png"/>
                    <pic:cNvPicPr/>
                  </pic:nvPicPr>
                  <pic:blipFill>
                    <a:blip r:embed="rId12"/>
                    <a:stretch>
                      <a:fillRect/>
                    </a:stretch>
                  </pic:blipFill>
                  <pic:spPr>
                    <a:xfrm>
                      <a:off x="0" y="0"/>
                      <a:ext cx="5029200" cy="7113620"/>
                    </a:xfrm>
                    <a:prstGeom prst="rect"/>
                  </pic:spPr>
                </pic:pic>
              </a:graphicData>
            </a:graphic>
          </wp:inline>
        </w:drawing>
      </w:r>
    </w:p>
    <w:p>
      <w:pPr>
        <w:spacing w:line="360" w:lineRule="auto" w:before="120" w:after="120"/>
        <w:jc w:val="center"/>
        <w:bidi w:val="1"/>
      </w:pPr>
      <w:r>
        <w:rPr>
          <w:rFonts w:ascii="David" w:hAnsi="David" w:cs="David"/>
          <w:sz w:val="20"/>
          <w:szCs w:val="20"/>
          <w:rtl w:val="1"/>
        </w:rPr>
        <w:t>הסימון בוצע על דפי הספר עצמם (עמ′ 91–94): כחול בהיר = handling, צהוב = holding.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