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bidi/>
        <w:spacing w:after="120" w:line="360"/>
        <w:jc w:val="center"/>
      </w:pPr>
      <w:r>
        <w:rPr>
          <w:rFonts w:ascii="David" w:cs="David" w:eastAsia="David" w:hAnsi="David" w:hint="cs"/>
          <w:sz w:val="24"/>
          <w:szCs w:val="24"/>
          <w:rtl/>
        </w:rPr>
        <w:t xml:space="preserve">הפקולטה למדעי הרוח והחברה</w:t>
      </w:r>
    </w:p>
    <w:p>
      <w:pPr>
        <w:bidi/>
        <w:spacing w:after="600" w:line="360"/>
        <w:jc w:val="center"/>
      </w:pPr>
      <w:r>
        <w:rPr>
          <w:rFonts w:ascii="David" w:cs="David" w:eastAsia="David" w:hAnsi="David" w:hint="cs"/>
          <w:sz w:val="24"/>
          <w:szCs w:val="24"/>
          <w:rtl/>
        </w:rPr>
        <w:t xml:space="preserve">התוכנית לתואר שני בחינוך</w:t>
      </w:r>
    </w:p>
    <w:p>
      <w:pPr>
        <w:bidi/>
        <w:spacing w:after="120" w:line="360"/>
        <w:jc w:val="center"/>
      </w:pPr>
      <w:r>
        <w:rPr>
          <w:rFonts w:ascii="David" w:cs="David" w:eastAsia="David" w:hAnsi="David" w:hint="cs"/>
          <w:b/>
          <w:bCs/>
          <w:sz w:val="28"/>
          <w:szCs w:val="28"/>
          <w:rtl/>
        </w:rPr>
        <w:t xml:space="preserve">היבטים פסיכולוגיים בחינוך ובחברה</w:t>
      </w:r>
    </w:p>
    <w:p>
      <w:pPr>
        <w:bidi/>
        <w:spacing w:after="120" w:line="360"/>
        <w:jc w:val="center"/>
      </w:pPr>
      <w:r>
        <w:rPr>
          <w:rFonts w:ascii="David" w:cs="David" w:eastAsia="David" w:hAnsi="David" w:hint="cs"/>
          <w:sz w:val="24"/>
          <w:szCs w:val="24"/>
          <w:highlight w:val="yellow"/>
          <w:highlightCs w:val="yellow"/>
          <w:rtl/>
        </w:rPr>
        <w:t xml:space="preserve">[מספר הקורס]</w:t>
      </w:r>
    </w:p>
    <w:p>
      <w:pPr>
        <w:bidi/>
        <w:spacing w:after="800" w:line="360"/>
        <w:jc w:val="center"/>
      </w:pPr>
      <w:r>
        <w:rPr>
          <w:rFonts w:ascii="David" w:cs="David" w:eastAsia="David" w:hAnsi="David" w:hint="cs"/>
          <w:sz w:val="24"/>
          <w:szCs w:val="24"/>
          <w:rtl/>
        </w:rPr>
        <w:t xml:space="preserve">מרצה: </w:t>
      </w:r>
      <w:r>
        <w:rPr>
          <w:rFonts w:ascii="David" w:cs="David" w:eastAsia="David" w:hAnsi="David" w:hint="cs"/>
          <w:sz w:val="24"/>
          <w:szCs w:val="24"/>
          <w:highlight w:val="yellow"/>
          <w:highlightCs w:val="yellow"/>
          <w:rtl/>
        </w:rPr>
        <w:t xml:space="preserve">[שם המרצה]</w:t>
      </w:r>
    </w:p>
    <w:p>
      <w:pPr>
        <w:bidi/>
        <w:spacing w:after="120" w:line="360"/>
        <w:jc w:val="center"/>
      </w:pPr>
      <w:r>
        <w:rPr>
          <w:rFonts w:ascii="David" w:cs="David" w:eastAsia="David" w:hAnsi="David" w:hint="cs"/>
          <w:b/>
          <w:bCs/>
          <w:sz w:val="32"/>
          <w:szCs w:val="32"/>
          <w:rtl/>
        </w:rPr>
        <w:t xml:space="preserve">מטלת אמצע</w:t>
      </w:r>
    </w:p>
    <w:p>
      <w:pPr>
        <w:bidi/>
        <w:spacing w:after="0" w:line="360"/>
        <w:jc w:val="center"/>
      </w:pPr>
      <w:r>
        <w:rPr>
          <w:rFonts w:ascii="David" w:cs="David" w:eastAsia="David" w:hAnsi="David" w:hint="cs"/>
          <w:sz w:val="28"/>
          <w:szCs w:val="28"/>
          <w:rtl/>
        </w:rPr>
        <w:t xml:space="preserve">הבית שאי אפשר לחזור אליו:</w:t>
      </w:r>
    </w:p>
    <w:p>
      <w:pPr>
        <w:bidi/>
        <w:spacing w:after="1000" w:line="360"/>
        <w:jc w:val="center"/>
      </w:pPr>
      <w:r>
        <w:rPr>
          <w:rFonts w:ascii="David" w:cs="David" w:eastAsia="David" w:hAnsi="David" w:hint="cs"/>
          <w:sz w:val="28"/>
          <w:szCs w:val="28"/>
          <w:rtl/>
        </w:rPr>
        <w:t xml:space="preserve">טראומה, אובדן והכרה חברתית בקרב תושבי ניר עוז</w:t>
      </w:r>
    </w:p>
    <w:p>
      <w:pPr>
        <w:bidi/>
        <w:spacing w:after="120" w:line="360"/>
        <w:jc w:val="center"/>
      </w:pPr>
      <w:r>
        <w:rPr>
          <w:rFonts w:ascii="David" w:cs="David" w:eastAsia="David" w:hAnsi="David" w:hint="cs"/>
          <w:sz w:val="24"/>
          <w:szCs w:val="24"/>
          <w:rtl/>
        </w:rPr>
        <w:t xml:space="preserve">מגישות:</w:t>
      </w:r>
    </w:p>
    <w:p>
      <w:pPr>
        <w:bidi/>
        <w:spacing w:after="120" w:line="360"/>
        <w:jc w:val="center"/>
      </w:pPr>
      <w:r>
        <w:rPr>
          <w:rFonts w:ascii="David" w:cs="David" w:eastAsia="David" w:hAnsi="David" w:hint="cs"/>
          <w:sz w:val="24"/>
          <w:szCs w:val="24"/>
          <w:rtl/>
        </w:rPr>
        <w:t xml:space="preserve">יסמין טהא, ת"ז </w:t>
      </w:r>
      <w:r>
        <w:rPr>
          <w:rFonts w:ascii="David" w:cs="David" w:eastAsia="David" w:hAnsi="David" w:hint="cs"/>
          <w:sz w:val="24"/>
          <w:szCs w:val="24"/>
          <w:highlight w:val="yellow"/>
          <w:highlightCs w:val="yellow"/>
          <w:rtl/>
        </w:rPr>
        <w:t xml:space="preserve">[מספר]</w:t>
      </w:r>
    </w:p>
    <w:p>
      <w:pPr>
        <w:bidi/>
        <w:spacing w:after="600" w:line="360"/>
        <w:jc w:val="center"/>
      </w:pPr>
      <w:r>
        <w:rPr>
          <w:rFonts w:ascii="David" w:cs="David" w:eastAsia="David" w:hAnsi="David" w:hint="cs"/>
          <w:sz w:val="24"/>
          <w:szCs w:val="24"/>
          <w:highlight w:val="yellow"/>
          <w:highlightCs w:val="yellow"/>
          <w:rtl/>
        </w:rPr>
        <w:t xml:space="preserve">[שם מלא]</w:t>
      </w:r>
      <w:r>
        <w:rPr>
          <w:rFonts w:ascii="David" w:cs="David" w:eastAsia="David" w:hAnsi="David" w:hint="cs"/>
          <w:sz w:val="24"/>
          <w:szCs w:val="24"/>
          <w:rtl/>
        </w:rPr>
        <w:t xml:space="preserve">, ת"ז </w:t>
      </w:r>
      <w:r>
        <w:rPr>
          <w:rFonts w:ascii="David" w:cs="David" w:eastAsia="David" w:hAnsi="David" w:hint="cs"/>
          <w:sz w:val="24"/>
          <w:szCs w:val="24"/>
          <w:highlight w:val="yellow"/>
          <w:highlightCs w:val="yellow"/>
          <w:rtl/>
        </w:rPr>
        <w:t xml:space="preserve">[מספר]</w:t>
      </w:r>
    </w:p>
    <w:p>
      <w:pPr>
        <w:bidi/>
        <w:spacing w:after="120" w:line="360"/>
        <w:jc w:val="center"/>
      </w:pPr>
      <w:r>
        <w:rPr>
          <w:rFonts w:ascii="David" w:cs="David" w:eastAsia="David" w:hAnsi="David" w:hint="cs"/>
          <w:sz w:val="24"/>
          <w:szCs w:val="24"/>
          <w:rtl/>
        </w:rPr>
        <w:t xml:space="preserve">ט"ו בתשרי תשפ"ז | 26 בספטמבר 2026</w:t>
      </w:r>
    </w:p>
    <w:p>
      <w:r>
        <w:br w:type="page"/>
      </w:r>
    </w:p>
    <w:p>
      <w:pPr>
        <w:pStyle w:val="Heading1"/>
        <w:bidi/>
        <w:spacing w:after="120" w:before="240" w:line="360"/>
        <w:jc w:val="right"/>
      </w:pPr>
      <w:r>
        <w:rPr>
          <w:rFonts w:ascii="David" w:cs="David" w:eastAsia="David" w:hAnsi="David" w:hint="cs"/>
          <w:b/>
          <w:bCs/>
          <w:sz w:val="28"/>
          <w:szCs w:val="28"/>
          <w:rtl/>
        </w:rPr>
        <w:t xml:space="preserve">א. תיאור המקרה</w:t>
      </w:r>
    </w:p>
    <w:p>
      <w:pPr>
        <w:bidi/>
        <w:spacing w:after="120" w:line="360"/>
        <w:ind w:firstLine="0"/>
        <w:jc w:val="both"/>
      </w:pPr>
      <w:r>
        <w:rPr>
          <w:rFonts w:ascii="David" w:cs="David" w:eastAsia="David" w:hAnsi="David" w:hint="cs"/>
          <w:sz w:val="24"/>
          <w:szCs w:val="24"/>
          <w:rtl/>
        </w:rPr>
        <w:t xml:space="preserve">כמעט שנתיים וחצי אחרי טבח 7 באוקטובר, חלק מתושבי קיבוץ ניר עוז עדיין אינם מסוגלים לחזור לבתיהם. במרץ 2026 הגיעו כמה מהם לדיון בוועדת הנגב והגליל בכנסת כדי לדרוש פתרון מסודר (גרין שאולוב, 2026). בין הדוברים היו חבר קיבוץ ששרד את הטבח עם אשתו וילדיו, אם שבנה נפל בקרב על הקיבוץ וגופתו נחטפה לרצועה, ושורדת שבי ששוחררה עם שתי בנותיה אחרי 52 ימים ובעלה נרצח. כבר בנובמבר 2024 הובטחה להם ועדת חריגים שתטפל במי שאינם יכולים לחזור, אך הוועדה לא הוקמה.</w:t>
      </w:r>
    </w:p>
    <w:p>
      <w:pPr>
        <w:bidi/>
        <w:spacing w:after="120" w:line="360"/>
        <w:ind w:firstLine="0"/>
        <w:jc w:val="both"/>
      </w:pPr>
      <w:r>
        <w:rPr>
          <w:rFonts w:ascii="David" w:cs="David" w:eastAsia="David" w:hAnsi="David" w:hint="cs"/>
          <w:sz w:val="24"/>
          <w:szCs w:val="24"/>
          <w:rtl/>
        </w:rPr>
        <w:t xml:space="preserve">המקרה משמעותי משום שהאובדן בו כפול. התושבים איבדו בני משפחה, בית, קהילה וביטחון כלכלי, ובנוסף הם חווים שהמדינה אינה רואה אותם. הכתבה: https://www.ynet.co.il/news/article/skwewngibl</w:t>
      </w:r>
    </w:p>
    <w:p>
      <w:pPr>
        <w:pStyle w:val="Heading1"/>
        <w:bidi/>
        <w:spacing w:after="120" w:before="240" w:line="360"/>
        <w:jc w:val="right"/>
      </w:pPr>
      <w:r>
        <w:rPr>
          <w:rFonts w:ascii="David" w:cs="David" w:eastAsia="David" w:hAnsi="David" w:hint="cs"/>
          <w:b/>
          <w:bCs/>
          <w:sz w:val="28"/>
          <w:szCs w:val="28"/>
          <w:rtl/>
        </w:rPr>
        <w:t xml:space="preserve">ב. ניתוח המקרה</w:t>
      </w:r>
    </w:p>
    <w:p>
      <w:pPr>
        <w:pStyle w:val="Heading2"/>
        <w:bidi/>
        <w:spacing w:after="120" w:before="240" w:line="360"/>
        <w:jc w:val="right"/>
      </w:pPr>
      <w:r>
        <w:rPr>
          <w:rFonts w:ascii="David" w:cs="David" w:eastAsia="David" w:hAnsi="David" w:hint="cs"/>
          <w:b/>
          <w:bCs/>
          <w:sz w:val="24"/>
          <w:szCs w:val="24"/>
          <w:rtl/>
        </w:rPr>
        <w:t xml:space="preserve">1. הרמן: טראומה כתופעה חברתית</w:t>
      </w:r>
    </w:p>
    <w:p>
      <w:pPr>
        <w:bidi/>
        <w:spacing w:after="120" w:line="360"/>
        <w:ind w:firstLine="0"/>
        <w:jc w:val="both"/>
      </w:pPr>
      <w:r>
        <w:rPr>
          <w:rFonts w:ascii="David" w:cs="David" w:eastAsia="David" w:hAnsi="David" w:hint="cs"/>
          <w:sz w:val="24"/>
          <w:szCs w:val="24"/>
          <w:rtl/>
        </w:rPr>
        <w:t xml:space="preserve">הרמן (1992/2001) רואה בטראומה תופעה חברתית ולא רק חוויה פרטית. האירוע מנפץ את תחושת הביטחון, האמון והאוטונומיה, וכשהסביבה אינה מכירה בפגיעה נוצרת פגיעה נוספת, שנלווים אליה בדידות ותחושת נטישה. ההחלמה מתחילה ביצירת ביטחון ושליטה, עוברת בזכירה ואבלות ובקשר מחודש עם אחרים, ומסתיימת בצדק שעניינו תיקון הנזק ולא ענישה (זמיר נצראל, 2026ג).</w:t>
      </w:r>
    </w:p>
    <w:p>
      <w:pPr>
        <w:bidi/>
        <w:spacing w:after="120" w:line="360"/>
        <w:ind w:firstLine="0"/>
        <w:jc w:val="both"/>
      </w:pPr>
      <w:r>
        <w:rPr>
          <w:rFonts w:ascii="David" w:cs="David" w:eastAsia="David" w:hAnsi="David" w:hint="cs"/>
          <w:sz w:val="24"/>
          <w:szCs w:val="24"/>
          <w:rtl/>
        </w:rPr>
        <w:t xml:space="preserve">דברי התושבים מתארים כמעט אחד לאחד את מה שהרמן מכנה פגיעה משנית. האם השכולה אמרה ש"אף אחד לא שאל אותנו עם מה אנחנו מתמודדים", וחבר הקיבוץ השווה בין ה"יחס האישי" שקיבל מחמאס ובין היחס שהוא מצפה לו מהממשלה (גרין שאולוב, 2026). במונחי המודל, התושבים תקועים בשלב הראשון: בלי בית ובלי ביטחון כלכלי אין בסיס בטוח שממנו אפשר להתחיל לעבד. הדרישה שלהם "לייצג את עצמנו" היא ניסיון להחזיר לעצמם שליטה, והדרישה לפתרון בדומה למפוני גוש קטיף היא בקשה לצדק במובן של תיקון.</w:t>
      </w:r>
    </w:p>
    <w:p>
      <w:pPr>
        <w:pStyle w:val="Heading2"/>
        <w:bidi/>
        <w:spacing w:after="120" w:before="240" w:line="360"/>
        <w:jc w:val="right"/>
      </w:pPr>
      <w:r>
        <w:rPr>
          <w:rFonts w:ascii="David" w:cs="David" w:eastAsia="David" w:hAnsi="David" w:hint="cs"/>
          <w:b/>
          <w:bCs/>
          <w:sz w:val="24"/>
          <w:szCs w:val="24"/>
          <w:rtl/>
        </w:rPr>
        <w:t xml:space="preserve">2. ואן דר קולק: הטראומה היא התגובה, לא האירוע</w:t>
      </w:r>
    </w:p>
    <w:p>
      <w:pPr>
        <w:bidi/>
        <w:spacing w:after="120" w:line="360"/>
        <w:ind w:firstLine="0"/>
        <w:jc w:val="both"/>
      </w:pPr>
      <w:r>
        <w:rPr>
          <w:rFonts w:ascii="David" w:cs="David" w:eastAsia="David" w:hAnsi="David" w:hint="cs"/>
          <w:sz w:val="24"/>
          <w:szCs w:val="24"/>
          <w:rtl/>
        </w:rPr>
        <w:t xml:space="preserve">לפי ואן דר קולק (2014/2021), הטראומה אינה האירוע עצמו אלא האופן שבו האדם חווה אותו ומפרש אותו. הפרשנות מושפעת מהאישיות, מניסיון קודם ומיסודות הביטחון, והגוף ממשיך לאותת על סכנה גם אחרי שהאירוע הסתיים. אחד הביטויים של פוסט טראומה הוא הימנעות (זמיר נצראל, 2026ב).</w:t>
      </w:r>
    </w:p>
    <w:p>
      <w:pPr>
        <w:bidi/>
        <w:spacing w:after="120" w:line="360"/>
        <w:ind w:firstLine="0"/>
        <w:jc w:val="both"/>
      </w:pPr>
      <w:r>
        <w:rPr>
          <w:rFonts w:ascii="David" w:cs="David" w:eastAsia="David" w:hAnsi="David" w:hint="cs"/>
          <w:sz w:val="24"/>
          <w:szCs w:val="24"/>
          <w:rtl/>
        </w:rPr>
        <w:t xml:space="preserve">ההבדל בין התושבים שחזרו ובין אלה שלא הצליחו לחזור ממחיש את הטענה. זה אותו קיבוץ ואותו אירוע, אבל "אני לא מסוגל לחזור אחרי מה שעברתי" מתאר תגובה אישית, לא החלטה רציונלית. גם שורדת השבי אינה אומרת שהקיבוץ מסוכן. היא אומרת "אני לא יכולה לחזור לשם לבד" (גרין שאולוב, 2026). ההימנעות מהמקום עצמו היא הדרך שבה הגוף שומר על האדם.</w:t>
      </w:r>
    </w:p>
    <w:p>
      <w:pPr>
        <w:pStyle w:val="Heading2"/>
        <w:bidi/>
        <w:spacing w:after="120" w:before="240" w:line="360"/>
        <w:jc w:val="right"/>
      </w:pPr>
      <w:r>
        <w:rPr>
          <w:rFonts w:ascii="David" w:cs="David" w:eastAsia="David" w:hAnsi="David" w:hint="cs"/>
          <w:b/>
          <w:bCs/>
          <w:sz w:val="24"/>
          <w:szCs w:val="24"/>
          <w:rtl/>
        </w:rPr>
        <w:t xml:space="preserve">3. קובלר-רוס: אבל על בית ועל עתיד</w:t>
      </w:r>
    </w:p>
    <w:p>
      <w:pPr>
        <w:bidi/>
        <w:spacing w:after="120" w:line="360"/>
        <w:ind w:firstLine="0"/>
        <w:jc w:val="both"/>
      </w:pPr>
      <w:r>
        <w:rPr>
          <w:rFonts w:ascii="David" w:cs="David" w:eastAsia="David" w:hAnsi="David" w:hint="cs"/>
          <w:sz w:val="24"/>
          <w:szCs w:val="24"/>
          <w:rtl/>
        </w:rPr>
        <w:t xml:space="preserve">קובלר-רוס (2002) תיארה חמישה שלבים בהתמודדות עם אובדן: הכחשה, כעס, מיקוח, דיכאון והשלמה. הסדר והעוצמה משתנים מאדם לאדם, ואובדן יכול להיות גם של בית, שגרה או תחושת ביטחון (זמיר נצראל, 2026א). הכעס בולט בכתבה ומופנה כלפי המדינה: "מינהלת התקומה מתעסקת בבטון ולא בשיקום התושבים". האובדן גם אינו רק של העבר. האם מתארת ילדים שהם דור שלישי בקיבוץ, שבתיהם נהרסו ובמקומם נבנים בתים שהם לא יגורו בהם (גרין שאולוב, 2026). השאלה של שורדת השבי, "איך אני בונה בית מחדש?", כבר מביטה קדימה ונוגעת בהשלמה, אבל בלי תשובה מעשית קשה להגיע אליה.</w:t>
      </w:r>
    </w:p>
    <w:p>
      <w:pPr>
        <w:pStyle w:val="Heading2"/>
        <w:bidi/>
        <w:spacing w:after="120" w:before="240" w:line="360"/>
        <w:jc w:val="right"/>
      </w:pPr>
      <w:r>
        <w:rPr>
          <w:rFonts w:ascii="David" w:cs="David" w:eastAsia="David" w:hAnsi="David" w:hint="cs"/>
          <w:b/>
          <w:bCs/>
          <w:sz w:val="24"/>
          <w:szCs w:val="24"/>
          <w:rtl/>
        </w:rPr>
        <w:t xml:space="preserve">ההקשר התרבותי והחברתי</w:t>
      </w:r>
    </w:p>
    <w:p>
      <w:pPr>
        <w:bidi/>
        <w:spacing w:after="120" w:line="360"/>
        <w:ind w:firstLine="0"/>
        <w:jc w:val="both"/>
      </w:pPr>
      <w:r>
        <w:rPr>
          <w:rFonts w:ascii="David" w:cs="David" w:eastAsia="David" w:hAnsi="David" w:hint="cs"/>
          <w:sz w:val="24"/>
          <w:szCs w:val="24"/>
          <w:rtl/>
        </w:rPr>
        <w:t xml:space="preserve">הקיבוץ הוא לא רק מקום מגורים אלא זהות קהילתית, ופגיעה בו היא אובדן של עולם ההנחות: ההנחה שאנחנו, כאנשים וכחברה, מוגנים (זמיר נצראל, 2026ב). טראומה קולקטיבית נצרבת בזיכרון הקבוצה (Saul, 2014, כפי שמצוטט אצל זמיר נצראל, 2026ג), וכמעט תמיד הופכת לבין-דורית (Hirschberger, 2018, כפי שמצוטט אצל זמיר נצראל, 2026ג). הנרטיב הציבורי של "חוזרים ובונים" מקשה במיוחד על מי שאינו מסוגל לחזור, וזו אולי הסיבה שחלק מהתושבים דורשים לדבר בשם עצמם ולא דרך הקיבוץ או המועצה.</w:t>
      </w:r>
    </w:p>
    <w:p>
      <w:pPr>
        <w:pStyle w:val="Heading2"/>
        <w:bidi/>
        <w:spacing w:after="120" w:before="240" w:line="360"/>
        <w:jc w:val="right"/>
      </w:pPr>
      <w:r>
        <w:rPr>
          <w:rFonts w:ascii="David" w:cs="David" w:eastAsia="David" w:hAnsi="David" w:hint="cs"/>
          <w:b/>
          <w:bCs/>
          <w:sz w:val="24"/>
          <w:szCs w:val="24"/>
          <w:rtl/>
        </w:rPr>
        <w:t xml:space="preserve">מה התאוריות מסבירות היטב, ומה פחות</w:t>
      </w:r>
    </w:p>
    <w:p>
      <w:pPr>
        <w:bidi/>
        <w:spacing w:after="120" w:line="360"/>
        <w:ind w:firstLine="0"/>
        <w:jc w:val="both"/>
      </w:pPr>
      <w:r>
        <w:rPr>
          <w:rFonts w:ascii="David" w:cs="David" w:eastAsia="David" w:hAnsi="David" w:hint="cs"/>
          <w:sz w:val="24"/>
          <w:szCs w:val="24"/>
          <w:rtl/>
        </w:rPr>
        <w:t xml:space="preserve">הרמן מסבירה היטב את הממד החברתי, ובמיוחד את הנזק שבהיעדר הכרה. עם זאת, המודל שלה מניח שאפשר לבסס קודם כול ביטחון, וכאן הביטחון הכלכלי תלוי בהחלטה של המדינה ולא בתהליך הטיפולי. ואן דר קולק מסביר את ההימנעות, אבל הכתבה אינה מתארת תסמינים גופניים, ולכן החלק הזה נשאר השערה. שלבי קובלר-רוס נקראים בקלות כרצף ליניארי, ואילו כאן האובדן עדיין נמשך, והכעס מתחדש בכל פעם שהבטחה אינה מתקיימת.</w:t>
      </w:r>
    </w:p>
    <w:p>
      <w:r>
        <w:br w:type="page"/>
      </w:r>
    </w:p>
    <w:p>
      <w:pPr>
        <w:bidi/>
        <w:spacing w:after="240"/>
        <w:jc w:val="center"/>
      </w:pPr>
      <w:r>
        <w:rPr>
          <w:rFonts w:ascii="David" w:cs="David" w:eastAsia="David" w:hAnsi="David" w:hint="cs"/>
          <w:b/>
          <w:bCs/>
          <w:sz w:val="28"/>
          <w:szCs w:val="28"/>
          <w:rtl/>
        </w:rPr>
        <w:t xml:space="preserve">רשימת מקורות</w:t>
      </w:r>
    </w:p>
    <w:p>
      <w:pPr>
        <w:bidi/>
        <w:spacing w:after="0" w:line="480"/>
        <w:ind w:start="709" w:hanging="709"/>
        <w:jc w:val="right"/>
      </w:pPr>
      <w:r>
        <w:rPr>
          <w:rFonts w:ascii="David" w:cs="David" w:eastAsia="David" w:hAnsi="David" w:hint="cs"/>
          <w:sz w:val="24"/>
          <w:szCs w:val="24"/>
          <w:rtl/>
        </w:rPr>
        <w:t xml:space="preserve">גרין שאולוב, ר' (2026, 24 במרץ). שנתיים וחצי אחרי הטבח: התושבים שמתקשים לשוב לניר עוז נותרו בלי פתרון. </w:t>
      </w:r>
      <w:r>
        <w:rPr>
          <w:rFonts w:ascii="David" w:cs="David" w:eastAsia="David" w:hAnsi="David" w:hint="cs"/>
          <w:i/>
          <w:iCs/>
          <w:sz w:val="24"/>
          <w:szCs w:val="24"/>
          <w:rtl/>
        </w:rPr>
        <w:t xml:space="preserve">ynet</w:t>
      </w:r>
      <w:r>
        <w:rPr>
          <w:rFonts w:ascii="David" w:cs="David" w:eastAsia="David" w:hAnsi="David" w:hint="cs"/>
          <w:sz w:val="24"/>
          <w:szCs w:val="24"/>
          <w:rtl/>
        </w:rPr>
        <w:t xml:space="preserve">. https://www.ynet.co.il/news/article/skwewngibl</w:t>
      </w:r>
    </w:p>
    <w:p>
      <w:pPr>
        <w:bidi/>
        <w:spacing w:after="0" w:line="480"/>
        <w:ind w:start="709" w:hanging="709"/>
        <w:jc w:val="right"/>
      </w:pPr>
      <w:r>
        <w:rPr>
          <w:rFonts w:ascii="David" w:cs="David" w:eastAsia="David" w:hAnsi="David" w:hint="cs"/>
          <w:sz w:val="24"/>
          <w:szCs w:val="24"/>
          <w:rtl/>
        </w:rPr>
        <w:t xml:space="preserve">הרמן, ג' ל' (2001). </w:t>
      </w:r>
      <w:r>
        <w:rPr>
          <w:rFonts w:ascii="David" w:cs="David" w:eastAsia="David" w:hAnsi="David" w:hint="cs"/>
          <w:i/>
          <w:iCs/>
          <w:sz w:val="24"/>
          <w:szCs w:val="24"/>
          <w:rtl/>
        </w:rPr>
        <w:t xml:space="preserve">טראומה והחלמה</w:t>
      </w:r>
      <w:r>
        <w:rPr>
          <w:rFonts w:ascii="David" w:cs="David" w:eastAsia="David" w:hAnsi="David" w:hint="cs"/>
          <w:sz w:val="24"/>
          <w:szCs w:val="24"/>
          <w:rtl/>
        </w:rPr>
        <w:t xml:space="preserve">. עם עובד. (פורסם במקור בשנת 1992)</w:t>
      </w:r>
    </w:p>
    <w:p>
      <w:pPr>
        <w:bidi/>
        <w:spacing w:after="0" w:line="480"/>
        <w:ind w:start="709" w:hanging="709"/>
        <w:jc w:val="right"/>
      </w:pPr>
      <w:r>
        <w:rPr>
          <w:rFonts w:ascii="David" w:cs="David" w:eastAsia="David" w:hAnsi="David" w:hint="cs"/>
          <w:sz w:val="24"/>
          <w:szCs w:val="24"/>
          <w:rtl/>
        </w:rPr>
        <w:t xml:space="preserve">ואן דר קולק, ב' (2021). </w:t>
      </w:r>
      <w:r>
        <w:rPr>
          <w:rFonts w:ascii="David" w:cs="David" w:eastAsia="David" w:hAnsi="David" w:hint="cs"/>
          <w:i/>
          <w:iCs/>
          <w:sz w:val="24"/>
          <w:szCs w:val="24"/>
          <w:rtl/>
        </w:rPr>
        <w:t xml:space="preserve">נרשם בגוף: מוח, נפש וגוף בריפוי מטראומה</w:t>
      </w:r>
      <w:r>
        <w:rPr>
          <w:rFonts w:ascii="David" w:cs="David" w:eastAsia="David" w:hAnsi="David" w:hint="cs"/>
          <w:sz w:val="24"/>
          <w:szCs w:val="24"/>
          <w:rtl/>
        </w:rPr>
        <w:t xml:space="preserve"> (א' רילוב, מתרגמת). פרדס. (פורסם במקור בשנת 2014)</w:t>
      </w:r>
    </w:p>
    <w:p>
      <w:pPr>
        <w:bidi/>
        <w:spacing w:after="0" w:line="480"/>
        <w:ind w:start="709" w:hanging="709"/>
        <w:jc w:val="right"/>
      </w:pPr>
      <w:r>
        <w:rPr>
          <w:rFonts w:ascii="David" w:cs="David" w:eastAsia="David" w:hAnsi="David" w:hint="cs"/>
          <w:sz w:val="24"/>
          <w:szCs w:val="24"/>
          <w:rtl/>
        </w:rPr>
        <w:t xml:space="preserve">זמיר נצראל, ל' (2026א). </w:t>
      </w:r>
      <w:r>
        <w:rPr>
          <w:rFonts w:ascii="David" w:cs="David" w:eastAsia="David" w:hAnsi="David" w:hint="cs"/>
          <w:i/>
          <w:iCs/>
          <w:sz w:val="24"/>
          <w:szCs w:val="24"/>
          <w:rtl/>
        </w:rPr>
        <w:t xml:space="preserve">אובדן ואבל</w:t>
      </w:r>
      <w:r>
        <w:rPr>
          <w:rFonts w:ascii="David" w:cs="David" w:eastAsia="David" w:hAnsi="David" w:hint="cs"/>
          <w:sz w:val="24"/>
          <w:szCs w:val="24"/>
          <w:rtl/>
        </w:rPr>
        <w:t xml:space="preserve"> [מצגת הרצאה]. היבטים פסיכולוגיים בחינוך ובחברה, הקריה האקדמית אונו.</w:t>
      </w:r>
    </w:p>
    <w:p>
      <w:pPr>
        <w:bidi/>
        <w:spacing w:after="0" w:line="480"/>
        <w:ind w:start="709" w:hanging="709"/>
        <w:jc w:val="right"/>
      </w:pPr>
      <w:r>
        <w:rPr>
          <w:rFonts w:ascii="David" w:cs="David" w:eastAsia="David" w:hAnsi="David" w:hint="cs"/>
          <w:sz w:val="24"/>
          <w:szCs w:val="24"/>
          <w:rtl/>
        </w:rPr>
        <w:t xml:space="preserve">זמיר נצראל, ל' (2026ב). </w:t>
      </w:r>
      <w:r>
        <w:rPr>
          <w:rFonts w:ascii="David" w:cs="David" w:eastAsia="David" w:hAnsi="David" w:hint="cs"/>
          <w:i/>
          <w:iCs/>
          <w:sz w:val="24"/>
          <w:szCs w:val="24"/>
          <w:rtl/>
        </w:rPr>
        <w:t xml:space="preserve">טראומה</w:t>
      </w:r>
      <w:r>
        <w:rPr>
          <w:rFonts w:ascii="David" w:cs="David" w:eastAsia="David" w:hAnsi="David" w:hint="cs"/>
          <w:sz w:val="24"/>
          <w:szCs w:val="24"/>
          <w:rtl/>
        </w:rPr>
        <w:t xml:space="preserve"> [מצגת הרצאה, יחידה 3]. היבטים פסיכולוגיים בחינוך ובחברה, הקריה האקדמית אונו.</w:t>
      </w:r>
    </w:p>
    <w:p>
      <w:pPr>
        <w:bidi/>
        <w:spacing w:after="0" w:line="480"/>
        <w:ind w:start="709" w:hanging="709"/>
        <w:jc w:val="right"/>
      </w:pPr>
      <w:r>
        <w:rPr>
          <w:rFonts w:ascii="David" w:cs="David" w:eastAsia="David" w:hAnsi="David" w:hint="cs"/>
          <w:sz w:val="24"/>
          <w:szCs w:val="24"/>
          <w:rtl/>
        </w:rPr>
        <w:t xml:space="preserve">זמיר נצראל, ל' (2026ג). </w:t>
      </w:r>
      <w:r>
        <w:rPr>
          <w:rFonts w:ascii="David" w:cs="David" w:eastAsia="David" w:hAnsi="David" w:hint="cs"/>
          <w:i/>
          <w:iCs/>
          <w:sz w:val="24"/>
          <w:szCs w:val="24"/>
          <w:rtl/>
        </w:rPr>
        <w:t xml:space="preserve">טראומה: ההיבט החברתי-תרבותי של הטראומה</w:t>
      </w:r>
      <w:r>
        <w:rPr>
          <w:rFonts w:ascii="David" w:cs="David" w:eastAsia="David" w:hAnsi="David" w:hint="cs"/>
          <w:sz w:val="24"/>
          <w:szCs w:val="24"/>
          <w:rtl/>
        </w:rPr>
        <w:t xml:space="preserve"> [מצגת הרצאה, יחידה 4]. היבטים פסיכולוגיים בחינוך ובחברה, הקריה האקדמית אונו.</w:t>
      </w:r>
    </w:p>
    <w:p>
      <w:pPr>
        <w:bidi/>
        <w:spacing w:after="0" w:line="480"/>
        <w:ind w:start="709" w:hanging="709"/>
        <w:jc w:val="right"/>
      </w:pPr>
      <w:r>
        <w:rPr>
          <w:rFonts w:ascii="David" w:cs="David" w:eastAsia="David" w:hAnsi="David" w:hint="cs"/>
          <w:sz w:val="24"/>
          <w:szCs w:val="24"/>
          <w:rtl/>
        </w:rPr>
        <w:t xml:space="preserve">קובלר-רוס, א' (2002). </w:t>
      </w:r>
      <w:r>
        <w:rPr>
          <w:rFonts w:ascii="David" w:cs="David" w:eastAsia="David" w:hAnsi="David" w:hint="cs"/>
          <w:i/>
          <w:iCs/>
          <w:sz w:val="24"/>
          <w:szCs w:val="24"/>
          <w:rtl/>
        </w:rPr>
        <w:t xml:space="preserve">המוות חשוב לחיים</w:t>
      </w:r>
      <w:r>
        <w:rPr>
          <w:rFonts w:ascii="David" w:cs="David" w:eastAsia="David" w:hAnsi="David" w:hint="cs"/>
          <w:sz w:val="24"/>
          <w:szCs w:val="24"/>
          <w:rtl/>
        </w:rPr>
        <w:t xml:space="preserve">. כתר.</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28"/>
      <w:szCs w:val="28"/>
    </w:rPr>
  </w:style>
  <w:style w:type="paragraph" w:styleId="Heading2">
    <w:name w:val="Heading 2"/>
    <w:basedOn w:val="Normal"/>
    <w:next w:val="Normal"/>
    <w:qFormat/>
    <w:pPr>
      <w:outlineLvl w:val="1"/>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2026-09-26T22:46:11.902Z</dcterms:created>
  <dcterms:modified xsi:type="dcterms:W3CDTF">2026-09-26T22:46:11.902Z</dcterms:modified>
</cp:coreProperties>
</file>

<file path=docProps/custom.xml><?xml version="1.0" encoding="utf-8"?>
<Properties xmlns="http://schemas.openxmlformats.org/officeDocument/2006/custom-properties" xmlns:vt="http://schemas.openxmlformats.org/officeDocument/2006/docPropsVTypes"/>
</file>