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sz w:val="30"/>
          <w:szCs w:val="34"/>
          <w:rtl/>
        </w:rPr>
        <w:t xml:space="preserve">[اسم الكلية / الجامعة]</w:t>
      </w:r>
    </w:p>
    <w:p>
      <w:pPr>
        <w:bidi/>
        <w:spacing w:after="200" w:before="0" w:line="480"/>
        <w:jc w:val="center"/>
      </w:pPr>
      <w:r>
        <w:rPr>
          <w:rFonts w:ascii="Times New Roman" w:cs="Simplified Arabic" w:eastAsia="Times New Roman" w:hAnsi="Times New Roman"/>
          <w:b w:val="false"/>
          <w:sz w:val="26"/>
          <w:szCs w:val="30"/>
          <w:rtl/>
        </w:rPr>
        <w:t xml:space="preserve">[اسم البرنامج / القسم]</w:t>
      </w:r>
    </w:p>
    <w:p>
      <w:pPr>
        <w:bidi/>
        <w:spacing w:after="200" w:before="0" w:line="480"/>
        <w:jc w:val="center"/>
      </w:pPr>
      <w:r>
        <w:rPr>
          <w:rFonts w:ascii="Times New Roman" w:cs="Simplified Arabic" w:eastAsia="Times New Roman" w:hAnsi="Times New Roman"/>
          <w:b w:val="false"/>
          <w:sz w:val="26"/>
          <w:szCs w:val="30"/>
          <w:rtl/>
        </w:rPr>
        <w:t xml:space="preserve">[اسم المساق ورقمه]</w:t>
      </w:r>
    </w:p>
    <w:p>
      <w:pPr>
        <w:bidi/>
        <w:spacing w:after="200" w:before="0" w:line="480"/>
        <w:jc w:val="center"/>
      </w:pPr>
      <w:r>
        <w:rPr>
          <w:rFonts w:ascii="Times New Roman" w:cs="Simplified Arabic" w:eastAsia="Times New Roman" w:hAnsi="Times New Roman"/>
          <w:b w:val="false"/>
          <w:sz w:val="26"/>
          <w:szCs w:val="30"/>
          <w:rtl/>
        </w:rPr>
        <w:t xml:space="preserve">[اسم المحاضر/ة]</w:t>
      </w:r>
    </w:p>
    <w:p>
      <w:pPr>
        <w:bidi/>
        <w:spacing w:after="600" w:before="0" w:line="480"/>
        <w:jc w:val="center"/>
      </w:pPr>
      <w:r>
        <w:rPr>
          <w:rFonts w:ascii="Times New Roman" w:cs="Simplified Arabic" w:eastAsia="Times New Roman" w:hAnsi="Times New Roman"/>
          <w:b w:val="false"/>
          <w:sz w:val="24"/>
          <w:szCs w:val="28"/>
          <w:rtl/>
        </w:rPr>
        <w:t xml:space="preserve"> </w:t>
      </w:r>
    </w:p>
    <w:p>
      <w:pPr>
        <w:bidi/>
        <w:spacing w:after="400" w:before="400" w:line="480"/>
        <w:jc w:val="center"/>
      </w:pPr>
      <w:r>
        <w:rPr>
          <w:rFonts w:ascii="Times New Roman" w:cs="Simplified Arabic" w:eastAsia="Times New Roman" w:hAnsi="Times New Roman"/>
          <w:b/>
          <w:bCs/>
          <w:sz w:val="36"/>
          <w:szCs w:val="40"/>
          <w:rtl/>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sz w:val="26"/>
          <w:szCs w:val="30"/>
          <w:rtl/>
        </w:rPr>
        <w:t xml:space="preserve">بحث سمينار</w:t>
      </w:r>
    </w:p>
    <w:p>
      <w:pPr>
        <w:bidi/>
        <w:spacing w:after="600" w:before="0" w:line="480"/>
        <w:jc w:val="center"/>
      </w:pPr>
      <w:r>
        <w:rPr>
          <w:rFonts w:ascii="Times New Roman" w:cs="Simplified Arabic" w:eastAsia="Times New Roman" w:hAnsi="Times New Roman"/>
          <w:b w:val="false"/>
          <w:sz w:val="24"/>
          <w:szCs w:val="28"/>
          <w:rtl/>
        </w:rPr>
        <w:t xml:space="preserve"> </w:t>
      </w:r>
    </w:p>
    <w:p>
      <w:pPr>
        <w:bidi/>
        <w:spacing w:after="200" w:before="0" w:line="480"/>
        <w:jc w:val="center"/>
      </w:pPr>
      <w:r>
        <w:rPr>
          <w:rFonts w:ascii="Times New Roman" w:cs="Simplified Arabic" w:eastAsia="Times New Roman" w:hAnsi="Times New Roman"/>
          <w:b w:val="false"/>
          <w:sz w:val="26"/>
          <w:szCs w:val="30"/>
          <w:rtl/>
        </w:rPr>
        <w:t xml:space="preserve">إعداد الطالبة: [الاسم الكامل]</w:t>
      </w:r>
    </w:p>
    <w:p>
      <w:pPr>
        <w:bidi/>
        <w:spacing w:after="200" w:before="0" w:line="480"/>
        <w:jc w:val="center"/>
      </w:pPr>
      <w:r>
        <w:rPr>
          <w:rFonts w:ascii="Times New Roman" w:cs="Simplified Arabic" w:eastAsia="Times New Roman" w:hAnsi="Times New Roman"/>
          <w:b w:val="false"/>
          <w:sz w:val="26"/>
          <w:szCs w:val="30"/>
          <w:rtl/>
        </w:rPr>
        <w:t xml:space="preserve">رقم الهوية: [الرقم]</w:t>
      </w:r>
    </w:p>
    <w:p>
      <w:pPr>
        <w:bidi/>
        <w:spacing w:after="600" w:before="0" w:line="480"/>
        <w:jc w:val="center"/>
      </w:pPr>
      <w:r>
        <w:rPr>
          <w:rFonts w:ascii="Times New Roman" w:cs="Simplified Arabic" w:eastAsia="Times New Roman" w:hAnsi="Times New Roman"/>
          <w:b w:val="false"/>
          <w:sz w:val="24"/>
          <w:szCs w:val="28"/>
          <w:rtl/>
        </w:rPr>
        <w:t xml:space="preserve"> </w:t>
      </w:r>
    </w:p>
    <w:p>
      <w:pPr>
        <w:bidi/>
        <w:spacing w:after="200" w:before="0" w:line="480"/>
        <w:jc w:val="center"/>
      </w:pPr>
      <w:r>
        <w:rPr>
          <w:rFonts w:ascii="Times New Roman" w:cs="Simplified Arabic" w:eastAsia="Times New Roman" w:hAnsi="Times New Roman"/>
          <w:b w:val="false"/>
          <w:sz w:val="26"/>
          <w:szCs w:val="30"/>
          <w:rtl/>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sz w:val="36"/>
          <w:szCs w:val="4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الملخص</w:t>
      </w:r>
    </w:p>
    <w:p>
      <w:pPr>
        <w:bidi/>
        <w:spacing w:after="120" w:before="0" w:line="480"/>
        <w:jc w:val="both"/>
      </w:pPr>
      <w:r>
        <w:rPr>
          <w:rFonts w:ascii="Times New Roman" w:cs="Simplified Arabic" w:eastAsia="Times New Roman" w:hAnsi="Times New Roman"/>
          <w:b w:val="false"/>
          <w:i w:val="false"/>
          <w:iCs w:val="false"/>
          <w:sz w:val="24"/>
          <w:szCs w:val="28"/>
          <w:rtl/>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sz w:val="24"/>
          <w:szCs w:val="28"/>
          <w:rtl/>
        </w:rPr>
        <w:t xml:space="preserve">الكلمات المفتاحية:</w:t>
      </w:r>
      <w:r>
        <w:rPr>
          <w:rFonts w:ascii="Times New Roman" w:cs="Simplified Arabic" w:eastAsia="Times New Roman" w:hAnsi="Times New Roman"/>
          <w:b w:val="false"/>
          <w:i w:val="false"/>
          <w:iCs w:val="false"/>
          <w:sz w:val="24"/>
          <w:szCs w:val="28"/>
          <w:rtl/>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المقدمة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تنطلق هذه الدراسة من فكرة قديمة وحديثة معاً. قديمة لأن بياجيه (Piaget,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(Abrahamson &amp; Lindgren,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(Debrenti,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وفي المراجعة المنهجية التي أجراها دان وآخرون (Dan et al.,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(Hussein et al.,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(Have et al.,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(Beck et al.,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وفي الولايات المتحدة، أجرت فازو وسكرايد (Vazou &amp; Skrade,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(Mavilidi et al.,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(White &amp; McCoy,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الصورة ليست إيجابية على نحو مطلق. أجرت سيفاويا وآخرون (Syväoja et al.,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(Byun &amp; Joung,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تكاد الأدبيات تجمع على أن الأثر الأوضح والأسرع للألعاب في تعليم الرياضيات هو الأثر الدافعي. صنف حسين وآخرون (Hussein et al.,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(Dan et al.,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ونمر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ونمر،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أسئلة البحث</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sz w:val="24"/>
          <w:szCs w:val="28"/>
          <w:rtl/>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منهجية البحث</w:t>
      </w:r>
    </w:p>
    <w:p>
      <w:pPr>
        <w:pStyle w:val="Heading2"/>
        <w:keepNext/>
        <w:bidi/>
        <w:spacing w:after="120" w:before="200" w:line="480"/>
        <w:jc w:val="right"/>
      </w:pPr>
      <w:r>
        <w:rPr>
          <w:rFonts w:ascii="Times New Roman" w:cs="Simplified Arabic" w:eastAsia="Times New Roman" w:hAnsi="Times New Roman"/>
          <w:b/>
          <w:bCs/>
          <w:sz w:val="32"/>
          <w:szCs w:val="36"/>
          <w:rtl/>
        </w:rPr>
        <w:t xml:space="preserve">منهج البحث</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sz w:val="32"/>
          <w:szCs w:val="36"/>
          <w:rtl/>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(Guest et al.,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sz w:val="24"/>
          <w:szCs w:val="28"/>
          <w:rtl/>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sz w:val="24"/>
          <w:szCs w:val="28"/>
          <w:rtl/>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أداة البحث</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sz w:val="30"/>
          <w:szCs w:val="34"/>
          <w:rtl/>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sz w:val="24"/>
          <w:szCs w:val="28"/>
          <w:rtl/>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rPr>
        <w:t xml:space="preserve">إجراءات البحث وأخلاقياته</w:t>
      </w:r>
    </w:p>
    <w:p>
      <w:pPr>
        <w:bidi/>
        <w:spacing w:after="120" w:before="0" w:line="480"/>
        <w:jc w:val="both"/>
      </w:pPr>
      <w:r>
        <w:rPr>
          <w:rFonts w:ascii="Times New Roman" w:cs="Simplified Arabic" w:eastAsia="Times New Roman" w:hAnsi="Times New Roman"/>
          <w:b w:val="false"/>
          <w:i w:val="false"/>
          <w:iCs w:val="false"/>
          <w:sz w:val="24"/>
          <w:szCs w:val="28"/>
          <w:rtl/>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تحليل البيانات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حُللت البيانات بأسلوب التحليل الموضوعي وفق الخطوات الست التي وصفتها براون وكلارك (Braun &amp; Clarke,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النتائج</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sz w:val="24"/>
          <w:szCs w:val="28"/>
          <w:rtl/>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sz w:val="22"/>
                <w:szCs w:val="24"/>
                <w:rtl/>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sz w:val="22"/>
                <w:szCs w:val="24"/>
                <w:rtl/>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sz w:val="32"/>
          <w:szCs w:val="36"/>
          <w:rtl/>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sz w:val="30"/>
          <w:szCs w:val="34"/>
          <w:rtl/>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sz w:val="24"/>
          <w:szCs w:val="28"/>
          <w:rtl/>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sz w:val="24"/>
          <w:szCs w:val="28"/>
          <w:rtl/>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sz w:val="24"/>
          <w:szCs w:val="28"/>
          <w:rtl/>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بقاء أثر التعلم</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sz w:val="24"/>
          <w:szCs w:val="28"/>
          <w:rtl/>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sz w:val="24"/>
          <w:szCs w:val="28"/>
          <w:rtl/>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sz w:val="24"/>
          <w:szCs w:val="28"/>
          <w:rtl/>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sz w:val="30"/>
          <w:szCs w:val="34"/>
          <w:rtl/>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المؤشر الذي رأت فيه المشاركات الفرق الأكثر دلالة هو نوع الأسئلة. تقول منال:</w:t>
      </w:r>
    </w:p>
    <w:p>
      <w:pPr>
        <w:bidi/>
        <w:spacing w:after="160" w:before="0" w:line="480"/>
        <w:ind w:left="720" w:right="720"/>
        <w:jc w:val="both"/>
      </w:pPr>
      <w:r>
        <w:rPr>
          <w:rFonts w:ascii="Times New Roman" w:cs="Simplified Arabic" w:eastAsia="Times New Roman" w:hAnsi="Times New Roman"/>
          <w:b w:val="false"/>
          <w:i w:val="false"/>
          <w:iCs w:val="false"/>
          <w:sz w:val="24"/>
          <w:szCs w:val="28"/>
          <w:rtl/>
        </w:rPr>
        <w:t xml:space="preserve">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sz w:val="24"/>
          <w:szCs w:val="28"/>
          <w:rtl/>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sz w:val="24"/>
          <w:szCs w:val="28"/>
          <w:rtl/>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sz w:val="30"/>
          <w:szCs w:val="34"/>
          <w:rtl/>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sz w:val="30"/>
          <w:szCs w:val="34"/>
          <w:rtl/>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تؤيد هذه النتائج تأييداً كاملاً الافتراض الأساسي لنظرية المعرفة المجسدة كما صاغها أبراهامسون وليندغرين (Abrahamson &amp; Lindgren,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(Bruner,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تتفق حدود التبسيط التي حددتها المعلمات مع ملاحظة حسين وآخرين (Hussein et al.,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تتسق هذه النتائج مع الاتجاه العام في الدراسات التجريبية، ولا سيما دراسة هافه وآخرين (Have et al., 2018) ودراسة فازو وسكرايد (Vazou &amp; Skrade, 2017) ودراسة الحربي (2026)، وتتسق نتيجة بقاء أثر التعلم مع ما وجدته مافيليدي وآخرون (Mavilidi et al.,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(Byun &amp; Joung,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النتيجة الأكثر إثارة للاهتمام تتعلق بالفئة الأكثر استفادة. وجدت المعلمات أن التحسن جاء من الثلثين الأدنى والأوسط، وهذا يتفق مع جوابرة ونمر (2024) في أهمية الألعاب لمتدني التحصيل، ويبدو للوهلة الأولى مخالفاً لنتيجة بيك وآخرين (Beck et al.,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(Syväoja et al.,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يتفق الإجماع على الأثر الدافعي مع ما خلص إليه حسين وآخرون (Hussein et al., 2022) ودان وآخرون (Dan et al., 2024) ووايت وماكوي (White &amp; McCoy,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sz w:val="24"/>
          <w:szCs w:val="28"/>
          <w:rtl/>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sz w:val="24"/>
          <w:szCs w:val="28"/>
          <w:rtl/>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sz w:val="24"/>
          <w:szCs w:val="28"/>
          <w:rtl/>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إسهام البحث</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sz w:val="32"/>
          <w:szCs w:val="36"/>
          <w:rtl/>
        </w:rPr>
        <w:t xml:space="preserve">محددات البحث</w:t>
      </w:r>
    </w:p>
    <w:p>
      <w:pPr>
        <w:bidi/>
        <w:spacing w:after="120" w:before="0" w:line="480"/>
        <w:jc w:val="both"/>
      </w:pPr>
      <w:r>
        <w:rPr>
          <w:rFonts w:ascii="Times New Roman" w:cs="Simplified Arabic" w:eastAsia="Times New Roman" w:hAnsi="Times New Roman"/>
          <w:b w:val="false"/>
          <w:i w:val="false"/>
          <w:iCs w:val="false"/>
          <w:sz w:val="24"/>
          <w:szCs w:val="28"/>
          <w:rtl/>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مجلة المناهج وطرق التدريس، 3(2)،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sz w:val="24"/>
          <w:szCs w:val="28"/>
          <w:rtl/>
        </w:rPr>
        <w:t xml:space="preserve">الحربي، ع' ع' (2026). فاعلية توظيف الألعاب التعليمية في تحسين مستوى التحصيل العلمي في مادة الرياضيات لدى طلاب الصف الثالث الابتدائي. مجلة الآداب والعلوم الإنسانية والاجتماعية.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Abrahamson, D., &amp; Lindgren, R. (2014). Embodiment and embodied design. In R. K. Sawyer (Ed.), The Cambridge handbook of the learning sciences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Beck, M. M., Lind, R. R., Geertsen, S. S., Ritz, C., Lundbye-Jensen, J., &amp; Wienecke, J. (2016). Motor-enriched learning activities can improve mathematical performance in preadolescent children. Frontiers in Human Neuroscience, 10,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Braun, V., &amp; Clarke, V. (2006). Using thematic analysis in psychology. Qualitative Research in Psychology, 3(2),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Bruner, J. S. (1966). Toward a theory of instruction.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Byun, J., &amp; Joung, E. (2018). Digital game-based learning for K-12 mathematics education: A meta-analysis. School Science and Mathematics, 118(3-4),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Creswell, J. W. (2013). Qualitative inquiry and research design: Choosing among five approaches (3rd ed.).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Dan, N. N., Trung, L. T. B. T., Nga, N. T., &amp; Dung, T. M. (2024). Digital game-based learning in mathematics education at primary school level: A systematic literature review. Eurasia Journal of Mathematics, Science and Technology Education, 20(4),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Debrenti, E. (2024). Game-based learning experiences in primary mathematics education. Frontiers in Education, 9,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Deci, E. L., &amp; Ryan, R. M. (2000). The "what" and "why" of goal pursuits: Human needs and the self-determination of behavior. Psychological Inquiry, 11(4),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Guest, G., Bunce, A., &amp; Johnson, L. (2006). How many interviews are enough? An experiment with data saturation and variability. Field Methods, 18(1),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Have, M., Nielsen, J. H., Ernst, M. T., Gejl, A. K., Fredens, K., Grøntved, A., &amp; Kristensen, P. L. (2018). Classroom-based physical activity improves children's math achievement: A randomized controlled trial. PLoS ONE, 13(12),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Hussein, M. H., Ow, S. H., Elaish, M. M., &amp; Jensen, E. O. (2022). Digital game-based learning in K-12 mathematics education: A systematic literature review. Education and Information Technologies, 27(2),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Lincoln, Y. S., &amp; Guba, E. G. (1985). Naturalistic inquiry. SAGE.</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Mavilidi, M. F., Okely, A., Chandler, P., Domazet, S. L., &amp; Paas, F. (2018). Immediate and delayed effects of integrating physical activity into preschool children's learning of numeracy skills. Journal of Experimental Child Psychology, 166,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Piaget, J. (1952). The origins of intelligence in children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British Journal of Educational Psychology, 94(3),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Vazou, S., &amp; Skrade, M. A. B. (2017). Intervention integrating physical activity with math: Math performance, perceived competence, and need satisfaction. International Journal of Sport and Exercise Psychology, 15(5),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White, K., &amp; McCoy, L. P. (2019). Effects of game-based learning on attitude and achievement in elementary mathematics. Networks: An Online Journal for Teacher Research, 21(1),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sz w:val="24"/>
          <w:szCs w:val="28"/>
          <w:rtl w:val="false"/>
        </w:rPr>
        <w:t xml:space="preserve">Wilson, M. (2002). Six views of embodied cognition. Psychonomic Bulletin &amp; Review, 9(4),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sz w:val="36"/>
          <w:szCs w:val="40"/>
          <w:rtl/>
        </w:rPr>
        <w:t xml:space="preserve">الملاحق</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sz w:val="24"/>
          <w:szCs w:val="28"/>
          <w:rtl/>
        </w:rPr>
        <w:t xml:space="preserve">تمهيد يُقرأ للمشاركة:</w:t>
      </w:r>
      <w:r>
        <w:rPr>
          <w:rFonts w:ascii="Times New Roman" w:cs="Simplified Arabic" w:eastAsia="Times New Roman" w:hAnsi="Times New Roman"/>
          <w:b w:val="false"/>
          <w:i w:val="false"/>
          <w:iCs w:val="false"/>
          <w:sz w:val="24"/>
          <w:szCs w:val="28"/>
          <w:rtl/>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sz w:val="24"/>
          <w:szCs w:val="28"/>
          <w:rtl/>
        </w:rPr>
        <w:t xml:space="preserve">البيانات العامة:</w:t>
      </w:r>
      <w:r>
        <w:rPr>
          <w:rFonts w:ascii="Times New Roman" w:cs="Simplified Arabic" w:eastAsia="Times New Roman" w:hAnsi="Times New Roman"/>
          <w:b w:val="false"/>
          <w:i w:val="false"/>
          <w:iCs w:val="false"/>
          <w:sz w:val="24"/>
          <w:szCs w:val="28"/>
          <w:rtl/>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sz w:val="24"/>
          <w:szCs w:val="28"/>
          <w:rtl/>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sz w:val="24"/>
          <w:szCs w:val="28"/>
          <w:rtl/>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sz w:val="24"/>
          <w:szCs w:val="28"/>
          <w:rtl/>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sz w:val="24"/>
          <w:szCs w:val="28"/>
          <w:rtl/>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sz w:val="24"/>
          <w:szCs w:val="28"/>
          <w:rtl/>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sz w:val="24"/>
          <w:szCs w:val="28"/>
          <w:rtl/>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sz w:val="24"/>
          <w:szCs w:val="28"/>
          <w:rtl/>
        </w:rPr>
        <w:t xml:space="preserve">أسئلة متابعة تُستخدم حسب الحاجة:</w:t>
      </w:r>
      <w:r>
        <w:rPr>
          <w:rFonts w:ascii="Times New Roman" w:cs="Simplified Arabic" w:eastAsia="Times New Roman" w:hAnsi="Times New Roman"/>
          <w:b w:val="false"/>
          <w:i w:val="false"/>
          <w:iCs w:val="false"/>
          <w:sz w:val="24"/>
          <w:szCs w:val="28"/>
          <w:rtl/>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sz w:val="32"/>
          <w:szCs w:val="36"/>
          <w:rtl/>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sz w:val="24"/>
          <w:szCs w:val="28"/>
          <w:rtl/>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sz w:val="24"/>
          <w:szCs w:val="28"/>
          <w:rtl/>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أثر توظيف الألعاب الحركية في تدريس الرياضيات على الفهم والتحصيل والدافعية لدى طلاب المرحلة الابتدائية من وجهة نظر المعلمات</dc:title>
  <dc:creator>Student</dc:creator>
  <cp:lastModifiedBy>Un-named</cp:lastModifiedBy>
  <cp:revision>1</cp:revision>
  <dcterms:created xsi:type="dcterms:W3CDTF">2026-09-13T15:05:24.075Z</dcterms:created>
  <dcterms:modified xsi:type="dcterms:W3CDTF">2026-09-13T15:05:24.089Z</dcterms:modified>
</cp:coreProperties>
</file>

<file path=docProps/custom.xml><?xml version="1.0" encoding="utf-8"?>
<Properties xmlns="http://schemas.openxmlformats.org/officeDocument/2006/custom-properties" xmlns:vt="http://schemas.openxmlformats.org/officeDocument/2006/docPropsVTypes"/>
</file>