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 קישור לטקסט המלא:</w:t>
      </w:r>
    </w:p>
    <w:p>
      <w:pPr>
        <w:bidi w:val="false"/>
        <w:spacing w:after="120" w:line="360" w:lineRule="auto"/>
        <w:ind w:left="709"/>
        <w:jc w:val="left"/>
      </w:pPr>
      <w:hyperlink w:history="1" r:id="rIdutpxgzhhsf5cohawiwxzb">
        <w:r>
          <w:rPr>
            <w:rStyle w:val="Hyperlink"/>
            <w:rFonts w:ascii="Times New Roman" w:cs="Times New Roman" w:eastAsia="Times New Roman" w:hAnsi="Times New Roman"/>
            <w:sz w:val="22"/>
            <w:szCs w:val="22"/>
          </w:rPr>
          <w:t xml:space="preserve">https://www.amacad.org/sites/default/files/publication/downloads/19_Winter_Daedalus_Sandefur.pdf</w:t>
        </w:r>
      </w:hyperlink>
    </w:p>
    <w:p>
      <w:pPr>
        <w:bidi/>
        <w:spacing w:after="120" w:line="360" w:lineRule="auto"/>
        <w:jc w:val="both"/>
      </w:pPr>
      <w:r>
        <w:rPr>
          <w:rFonts w:ascii="Times New Roman" w:cs="David" w:eastAsia="David" w:hAnsi="Times New Roman"/>
          <w:b w:val="false"/>
          <w:i w:val="false"/>
          <w:sz w:val="24"/>
          <w:szCs w:val="24"/>
          <w:rtl/>
        </w:rPr>
        <w:t xml:space="preserve">(Sela, 2016) - מאמר אקדמי מכתב עת. אותר במנוע החיפוש Google Scholar באמצעות מילות החיפוש והאופרטורים: "online courts" AND "self-represented litigants". קישור לטקסט המלא:</w:t>
      </w:r>
    </w:p>
    <w:p>
      <w:pPr>
        <w:bidi w:val="false"/>
        <w:spacing w:after="120" w:line="360" w:lineRule="auto"/>
        <w:ind w:left="709"/>
        <w:jc w:val="left"/>
      </w:pPr>
      <w:hyperlink w:history="1" r:id="rIddfpwt12v-2l8r_3qhtzpv">
        <w:r>
          <w:rPr>
            <w:rStyle w:val="Hyperlink"/>
            <w:rFonts w:ascii="Times New Roman" w:cs="Times New Roman" w:eastAsia="Times New Roman" w:hAnsi="Times New Roman"/>
            <w:sz w:val="22"/>
            <w:szCs w:val="22"/>
          </w:rPr>
          <w:t xml:space="preserve">https://scholarship.law.cornell.edu/cjlpp/vol26/iss2/3/</w:t>
        </w:r>
      </w:hyperlink>
    </w:p>
    <w:p>
      <w:pPr>
        <w:bidi/>
        <w:spacing w:after="120" w:line="360" w:lineRule="auto"/>
        <w:jc w:val="both"/>
      </w:pPr>
      <w:r>
        <w:rPr>
          <w:rFonts w:ascii="Times New Roman" w:cs="David" w:eastAsia="David" w:hAnsi="Times New Roman"/>
          <w:b w:val="false"/>
          <w:i w:val="false"/>
          <w:sz w:val="24"/>
          <w:szCs w:val="24"/>
          <w:rtl/>
        </w:rPr>
        <w:t xml:space="preserve">(מור, 2016) - מאמר אקדמי מכתב עת. אותר במדור כתבי העת של המאגר המשפטי נבו, בכתב העת "חוקים", באמצעות מילות החיפוש: נגישות לצדק AND נגישות למשפט. קישור לטקסט המלא:</w:t>
      </w:r>
    </w:p>
    <w:p>
      <w:pPr>
        <w:bidi w:val="false"/>
        <w:spacing w:after="120" w:line="360" w:lineRule="auto"/>
        <w:ind w:left="709"/>
        <w:jc w:val="left"/>
      </w:pPr>
      <w:hyperlink w:history="1" r:id="rIdag9akm_cosafppev-2t3w">
        <w:r>
          <w:rPr>
            <w:rStyle w:val="Hyperlink"/>
            <w:rFonts w:ascii="Times New Roman" w:cs="Times New Roman" w:eastAsia="Times New Roman" w:hAnsi="Times New Roman"/>
            <w:sz w:val="22"/>
            <w:szCs w:val="22"/>
          </w:rPr>
          <w:t xml:space="preserve">https://law.haifa.ac.il/images/documents/Trial_Accessible%20to%20all.pdf</w:t>
        </w:r>
      </w:hyperlink>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בנגישות לצדק ובייצוג המשפטי הניתן מטעם המדינה למי שידם אינה משגת. נקודת המוצא היא שזכות הגישה לערכאות נותרת ריקה מתוכן כאשר מימושה בפועל תלוי במשאבים, בידע ובזמן שאין לתובע מן השורה. בשיח הציבורי מקובל לזהות את פתרון הבעיה עם עצם קיומו של ייצוג, כלומר עם מינוי עורך דין מטעם הסיוע המשפטי למי שאינו יכול לשלם, וכך נמדדת בדרך כלל גם הצלחתה של מדיניות הרווחה המשפטית. הטענה המרכזית של ראש הפרק היא שנגישות לצדק אינה מסתכמת בהעמדת עורך דין, אלא תלויה באופן שבו המוסדות בנויים, בשפה שבה הם מדברים, ובאופן שבו בעלי הדין תופסים אותם וחווים אותם לאורך ההליך. מן הטענה נגזרת השערה מעשית: גם מי שקיבל ייצוג ציבורי מלא עשוי להיתקל בחסמים של זמן, ידע, שפה ותודעה, ולחוות את ההליך כזירה זרה שאינה ערוכה סביבו. לביסוס הטענה נשען הפרק על שלושה מקורות מן העשור האחרון, הבוחנים את הנגישות משלושה כיוונים משלימים: הגדרה מחודשת של היקף הבעיה ושורשיה, העיצוב המוסדי והטכנולוגי של מערכות יישוב סכסוכים, וההמשגה הישראלית העדכנית של המושג. הדיון המשולב בשלושתם יניח את התשתית לניתוח חוויית הייצוג מטעם המדינה במקרה הבוחן האישי שבלב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אבחון מפתיע. לטענתה, הבעיה המרכזית אינה מחסור בעורכי דין או במימון הייצוג, כפי שנהוג להניח. מחקריה מראים שמרבית האנשים המתמודדים עם בעיות בעלות אופי משפטי, בתחומי תעסוקה, דיור וחובות, כלל אינם מזהים אותן כבעיות משפטיות. משום כך הם אינם פונים לעזרה מקצועית, והבעיות מוכרעות בפועל על ידי הצד החזק, המעסיק, בעל הבית או הנושה. גם כאשר האזרח כן מגיע למערכת, הוא מוצא מוסדות שבנויים סביב צורכיהם של אנשי המקצוע ולא סביב יכולותיו של ההדיוט. מכאן שהפתרון אינו רק תוספת של עורכי דין, אלא עיצוב מחדש של נקודות המפגש שבין הציבור למערכת. המסקנה החשובה לענייננו היא שייצוג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הטכנולוגי-מוסדי והמושגי-ישראלי. סלע (Sela, 2016) מתמקדת בעיצוב המוסדי ומראה כיצד בתי משפט מקוונים יכולים לתת מענה לקשייהם של מתדיינים המייצגים את עצמם, אלה שההליך המסורתי יקר, מסורבל ומרתיע מדי עבורם. ממחקרה עולה שעיצוב נכון של סביבת ההתדיינות משפר את חוויית ההליך ההוגן של בעלי דין לא מיוצגים, כלומר שהנגישות תלויה במבנה הממשק שבין האזרח למערכת. מור (2016) מציעה את התשתית המושגית לדיון הישראלי ומבחינה בין שלוש רמות של נגישות: גישה לערכאות, נגישות למשפט ונגישות לצדק, שהיא התוצאה ההוגנת בפועל. מניתוחה, הנשען על ביקורת המוגבלות, עולה שחסמים בדרך אל הצדק אינם תקלה נקודתית אלא מאפיין מבני של האופן שבו המערכת תוכננה, ולכן הסרתם דורשת עיצוב מחדש של המוסדות ולא רק סיוע פרטני. חיבור שני המקורות מלמד שהנגישות מוכרעת בשני מפגשים: בין האזרח למוסד, ובין האזרח למושג הצדק שהוא נושא עימו. כאשר המפגשים האלה מתווכים על ידי מחסור ועומס, הייצוג הציבורי נחווה כברירת מחדל ולא כזכות.</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ובתוצאה המעשית, ולא רק בקיומו הפורמלי של ייצוג. שלושת המקורות, כל אחד מזווית אחרת, מצביעים יחד על פער עקבי בין הזכות הכתובה לבין מימושה בפועל, פער שמתרכז דווקא אצל האוכלוסיות התלויות בייצוג הציבורי. הפער אינו נסגר ברגע שממונה עורך דין מטעם המדינה, והוא מלווה את בעל הדין בכל תחנה של ההליך, מהגשת התביעה ועד ההכרעה. חשוב מכך, הוא אינו מסתיים גם בפסק הדין עצמו, שכן זכייה כתובה שאינה נאכפת נותרת הבטחה על נייר. מסקנה זו מובילה ישירות לראש הפרק הבא בסקירת הספרות, שיעסוק בפער שבין החוק שבספרים לחוק שבפעולה לאור תופעת האקטיביזם המשפטי בישראל. שם ייבחן השלב שבו הנגישות לצדק עומדת במבחנה האחרון והקשה ביותר: גביית פסק הדין הלכה למעשה.</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מור, ש' (2016). משפט נגיש לכל: הזכות לנגישות ונגישות למשפט - ביקורת מוגבלות. </w:t>
      </w:r>
      <w:r>
        <w:rPr>
          <w:rFonts w:ascii="Times New Roman" w:cs="David" w:eastAsia="David" w:hAnsi="Times New Roman"/>
          <w:b w:val="false"/>
          <w:i/>
          <w:iCs/>
          <w:sz w:val="24"/>
          <w:szCs w:val="24"/>
          <w:rtl/>
        </w:rPr>
        <w:t xml:space="preserve">חוקים, ח</w:t>
      </w:r>
      <w:r>
        <w:rPr>
          <w:rFonts w:ascii="Times New Roman" w:cs="David" w:eastAsia="David" w:hAnsi="Times New Roman"/>
          <w:b w:val="false"/>
          <w:i w:val="false"/>
          <w:sz w:val="24"/>
          <w:szCs w:val="24"/>
          <w:rtl/>
        </w:rPr>
        <w:t xml:space="preserve">, 15-83. זמין במאגר המשפטי נבו.</w:t>
      </w:r>
    </w:p>
    <w:p>
      <w:pPr>
        <w:bidi w:val="false"/>
        <w:spacing w:after="180" w:line="360" w:lineRule="auto"/>
        <w:ind w:left="709"/>
        <w:jc w:val="left"/>
      </w:pPr>
      <w:hyperlink w:history="1" r:id="rIdjpztcnyxsffgkilie4nzg">
        <w:r>
          <w:rPr>
            <w:rStyle w:val="Hyperlink"/>
            <w:rFonts w:ascii="Times New Roman" w:cs="Times New Roman" w:eastAsia="Times New Roman" w:hAnsi="Times New Roman"/>
            <w:sz w:val="22"/>
            <w:szCs w:val="22"/>
          </w:rPr>
          <w:t xml:space="preserve">https://law.haifa.ac.il/images/documents/Trial_Accessible%20to%20all.pdf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Sela, A. (2016). Streamlining justice: How online courts can resolve the challenges of pro se litigation. </w:t>
      </w:r>
      <w:r>
        <w:rPr>
          <w:rFonts w:ascii="Times New Roman" w:cs="Times New Roman" w:eastAsia="Times New Roman" w:hAnsi="Times New Roman"/>
          <w:b w:val="false"/>
          <w:i/>
          <w:iCs/>
          <w:sz w:val="24"/>
          <w:szCs w:val="24"/>
          <w:rtl w:val="false"/>
        </w:rPr>
        <w:t xml:space="preserve">Cornell Journal of Law and Public Policy, 26</w:t>
      </w:r>
      <w:r>
        <w:rPr>
          <w:rFonts w:ascii="Times New Roman" w:cs="Times New Roman" w:eastAsia="Times New Roman" w:hAnsi="Times New Roman"/>
          <w:b w:val="false"/>
          <w:i w:val="false"/>
          <w:sz w:val="24"/>
          <w:szCs w:val="24"/>
          <w:rtl w:val="false"/>
        </w:rPr>
        <w:t xml:space="preserve">(2), 331.</w:t>
      </w:r>
    </w:p>
    <w:p>
      <w:pPr>
        <w:bidi w:val="false"/>
        <w:spacing w:after="180" w:line="360" w:lineRule="auto"/>
        <w:ind w:left="709"/>
        <w:jc w:val="left"/>
      </w:pPr>
      <w:hyperlink w:history="1" r:id="rIdezdals89nljfb3c-zu59k">
        <w:r>
          <w:rPr>
            <w:rStyle w:val="Hyperlink"/>
            <w:rFonts w:ascii="Times New Roman" w:cs="Times New Roman" w:eastAsia="Times New Roman" w:hAnsi="Times New Roman"/>
            <w:sz w:val="22"/>
            <w:szCs w:val="22"/>
          </w:rPr>
          <w:t xml:space="preserve">https://scholarship.law.cornell.edu/cjlpp/vol26/iss2/3/</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p>
      <w:pPr>
        <w:bidi w:val="false"/>
        <w:spacing w:after="180" w:line="360" w:lineRule="auto"/>
        <w:ind w:left="709"/>
        <w:jc w:val="left"/>
      </w:pPr>
      <w:hyperlink w:history="1" r:id="rIdpeovaqnromtcuyl6kz7md">
        <w:r>
          <w:rPr>
            <w:rStyle w:val="Hyperlink"/>
            <w:rFonts w:ascii="Times New Roman" w:cs="Times New Roman" w:eastAsia="Times New Roman" w:hAnsi="Times New Roman"/>
            <w:sz w:val="22"/>
            <w:szCs w:val="22"/>
          </w:rPr>
          <w:t xml:space="preserve">https://doi.org/10.1162/daed_a_00534</w:t>
        </w:r>
      </w:hyperlink>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utpxgzhhsf5cohawiwxzb" Type="http://schemas.openxmlformats.org/officeDocument/2006/relationships/hyperlink" Target="https://www.amacad.org/sites/default/files/publication/downloads/19_Winter_Daedalus_Sandefur.pdf" TargetMode="External"/><Relationship Id="rIddfpwt12v-2l8r_3qhtzpv" Type="http://schemas.openxmlformats.org/officeDocument/2006/relationships/hyperlink" Target="https://scholarship.law.cornell.edu/cjlpp/vol26/iss2/3/" TargetMode="External"/><Relationship Id="rIdag9akm_cosafppev-2t3w" Type="http://schemas.openxmlformats.org/officeDocument/2006/relationships/hyperlink" Target="https://law.haifa.ac.il/images/documents/Trial_Accessible%20to%20all.pdf" TargetMode="External"/><Relationship Id="rIdjpztcnyxsffgkilie4nzg" Type="http://schemas.openxmlformats.org/officeDocument/2006/relationships/hyperlink" Target="https://law.haifa.ac.il/images/documents/Trial_Accessible%20to%20all.pdf" TargetMode="External"/><Relationship Id="rIdezdals89nljfb3c-zu59k" Type="http://schemas.openxmlformats.org/officeDocument/2006/relationships/hyperlink" Target="https://scholarship.law.cornell.edu/cjlpp/vol26/iss2/3/" TargetMode="External"/><Relationship Id="rIdpeovaqnromtcuyl6kz7md" Type="http://schemas.openxmlformats.org/officeDocument/2006/relationships/hyperlink" Target="https://doi.org/10.1162/daed_a_00534"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2026-08-01T11:29:42.000Z</dcterms:created>
  <dcterms:modified xsi:type="dcterms:W3CDTF">2026-08-01T11:29:42.014Z</dcterms:modified>
</cp:coreProperties>
</file>

<file path=docProps/custom.xml><?xml version="1.0" encoding="utf-8"?>
<Properties xmlns="http://schemas.openxmlformats.org/officeDocument/2006/custom-properties" xmlns:vt="http://schemas.openxmlformats.org/officeDocument/2006/docPropsVTypes"/>
</file>