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29"/>
      </w:r>
      <w:r>
        <w:rPr>
          <w:rFonts w:ascii="David" w:cs="David" w:eastAsia="David" w:hAnsi="David"/>
          <w:sz w:val="24"/>
          <w:szCs w:val="24"/>
          <w:rtl/>
        </w:rPr>
        <w:t xml:space="preserve"> שנית, כותרת "בלתי חוזר" אינה מילת קסם – וברק אף מטעים כי הכינוי עצמו "אינו מוצלח": אי־ההדירות היא תוצאת האינטרס המובטח, לא תולדת הכותרת שנבחרה למסמך.</w:t>
      </w:r>
      <w:r>
        <w:rPr>
          <w:rStyle w:val="FootnoteReference"/>
        </w:rPr>
        <w:footnoteReference w:id="30"/>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1"/>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2"/>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3"/>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4"/>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35"/>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6"/>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7"/>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8"/>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9"/>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0"/>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1"/>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2"/>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43"/>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4"/>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5"/>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6"/>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47"/>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48"/>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49"/>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50"/>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51"/>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52"/>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53"/>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54"/>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55"/>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6"/>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7"/>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8"/>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59"/>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60"/>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61"/>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62"/>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63"/>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64"/>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65"/>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66"/>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7"/>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68"/>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69"/>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70"/>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71"/>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72"/>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73"/>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74"/>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75"/>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76"/>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77"/>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78"/>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79"/>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80"/>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81"/>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82"/>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83"/>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84"/>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85"/>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86"/>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87"/>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88"/>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89"/>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90"/>
      </w:r>
      <w:r>
        <w:rPr>
          <w:rFonts w:ascii="David" w:cs="David" w:eastAsia="David" w:hAnsi="David"/>
          <w:sz w:val="24"/>
          <w:szCs w:val="24"/>
          <w:rtl/>
        </w:rPr>
        <w:t xml:space="preserve"> ודוק, הבדל אחד חשוב: במשפט המקובל האינטרס המבטיח את אי־ההדירות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91"/>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92"/>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93"/>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94"/>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95"/>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96"/>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97"/>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98"/>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99"/>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00"/>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01"/>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02"/>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103"/>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04"/>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05"/>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06"/>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07"/>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08"/>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09"/>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10"/>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11"/>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12"/>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13"/>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14"/>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15"/>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16"/>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17"/>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18"/>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19"/>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20"/>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21"/>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22"/>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23"/>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1244–1245.</w:t>
      </w:r>
    </w:p>
  </w:footnote>
  <w:footnote w:id="30">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1242.</w:t>
      </w:r>
    </w:p>
  </w:footnote>
  <w:footnote w:id="31">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3">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4">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w:t>
      </w:r>
    </w:p>
  </w:footnote>
  <w:footnote w:id="35">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36">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7">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344 ואילך.</w:t>
      </w:r>
    </w:p>
  </w:footnote>
  <w:footnote w:id="38">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9">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0">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1">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2">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3">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4">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5">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6">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45</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42</w:t>
      </w:r>
      <w:r>
        <w:rPr>
          <w:rFonts w:ascii="David" w:cs="David" w:eastAsia="David" w:hAnsi="David"/>
          <w:sz w:val="20"/>
          <w:szCs w:val="20"/>
          <w:rtl/>
        </w:rPr>
        <w:t xml:space="preserve">, לעניין היחס בין רישיון לחזקה.</w:t>
      </w:r>
    </w:p>
  </w:footnote>
  <w:footnote w:id="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4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 בעמ׳ 3–4 לפסק הדין.</w:t>
      </w:r>
    </w:p>
  </w:footnote>
  <w:footnote w:id="50">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51">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52">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53">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54">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55">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56">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57">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8">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50</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43</w:t>
      </w:r>
      <w:r>
        <w:rPr>
          <w:rFonts w:ascii="David" w:cs="David" w:eastAsia="David" w:hAnsi="David"/>
          <w:sz w:val="20"/>
          <w:szCs w:val="20"/>
          <w:rtl/>
        </w:rPr>
        <w:t xml:space="preserve">.</w:t>
      </w:r>
    </w:p>
  </w:footnote>
  <w:footnote w:id="5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61">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62">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63">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64">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65">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282.</w:t>
      </w:r>
    </w:p>
  </w:footnote>
  <w:footnote w:id="66">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7">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68">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69">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151.</w:t>
      </w:r>
    </w:p>
  </w:footnote>
  <w:footnote w:id="70">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153–154.</w:t>
      </w:r>
    </w:p>
  </w:footnote>
  <w:footnote w:id="71">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72">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w:t>
      </w:r>
    </w:p>
  </w:footnote>
  <w:footnote w:id="73">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282–284, והפסיקה הנסקרת שם.</w:t>
      </w:r>
    </w:p>
  </w:footnote>
  <w:footnote w:id="74">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65</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76">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31</w:t>
      </w:r>
      <w:r>
        <w:rPr>
          <w:rFonts w:ascii="David" w:cs="David" w:eastAsia="David" w:hAnsi="David"/>
          <w:sz w:val="20"/>
          <w:szCs w:val="20"/>
          <w:rtl/>
        </w:rPr>
        <w:t xml:space="preserve">, שבו לא נזקפה ההתנהלות הבלתי פורמלית רבת-השנים לחובת הרוכשת.</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83">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84">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36</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8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88">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89">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90">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91">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1243.</w:t>
      </w:r>
    </w:p>
  </w:footnote>
  <w:footnote w:id="92">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93">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94">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75</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97">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98">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99">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00">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01">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92</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05">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06">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08">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09">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10">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11">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12">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13">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14">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15">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16">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17">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1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120">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85</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23">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2026-08-28T08:21:08.519Z</dcterms:created>
  <dcterms:modified xsi:type="dcterms:W3CDTF">2026-08-28T08:21:08.519Z</dcterms:modified>
</cp:coreProperties>
</file>

<file path=docProps/custom.xml><?xml version="1.0" encoding="utf-8"?>
<Properties xmlns="http://schemas.openxmlformats.org/officeDocument/2006/custom-properties" xmlns:vt="http://schemas.openxmlformats.org/officeDocument/2006/docPropsVTypes"/>
</file>