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imes New Roman" w:cs="David" w:eastAsia="David" w:hAnsi="Times New Roman"/>
          <w:b/>
          <w:bCs/>
          <w:sz w:val="30"/>
          <w:szCs w:val="30"/>
          <w:rtl/>
        </w:rPr>
        <w:t xml:space="preserve">הפקולטה למשפטים</w:t>
      </w:r>
    </w:p>
    <w:p>
      <w:pPr>
        <w:bidi/>
        <w:spacing w:after="120"/>
        <w:jc w:val="center"/>
      </w:pPr>
      <w:r>
        <w:rPr>
          <w:rFonts w:ascii="Times New Roman" w:cs="David" w:eastAsia="David" w:hAnsi="Times New Roman"/>
          <w:sz w:val="26"/>
          <w:szCs w:val="26"/>
          <w:rtl/>
        </w:rPr>
        <w:t xml:space="preserve">תואר שני במשפטים (</w:t>
      </w:r>
      <w:r>
        <w:rPr>
          <w:rFonts w:ascii="Times New Roman" w:cs="David" w:eastAsia="David" w:hAnsi="Times New Roman"/>
          <w:sz w:val="26"/>
          <w:szCs w:val="26"/>
          <w:rtl w:val="false"/>
        </w:rPr>
        <w:t xml:space="preserve">LL.M.‎</w:t>
      </w:r>
      <w:r>
        <w:rPr>
          <w:rFonts w:ascii="Times New Roman" w:cs="David" w:eastAsia="David" w:hAnsi="Times New Roman"/>
          <w:sz w:val="26"/>
          <w:szCs w:val="26"/>
          <w:rtl/>
        </w:rPr>
        <w:t xml:space="preserve">)</w:t>
      </w:r>
    </w:p>
    <w:p>
      <w:pPr>
        <w:bidi/>
        <w:spacing w:after="1800"/>
        <w:jc w:val="center"/>
      </w:pPr>
      <w:r>
        <w:rPr>
          <w:rFonts w:ascii="Times New Roman" w:cs="David" w:eastAsia="David" w:hAnsi="Times New Roman"/>
          <w:sz w:val="26"/>
          <w:szCs w:val="26"/>
          <w:rtl/>
        </w:rPr>
        <w:t xml:space="preserve">סמינר מתקדם במשפט הפלילי</w:t>
      </w:r>
    </w:p>
    <w:p>
      <w:pPr>
        <w:bidi/>
        <w:spacing w:after="60"/>
        <w:jc w:val="center"/>
      </w:pPr>
      <w:r>
        <w:rPr>
          <w:rFonts w:ascii="Times New Roman" w:cs="David" w:eastAsia="David" w:hAnsi="Times New Roman"/>
          <w:b/>
          <w:bCs/>
          <w:sz w:val="38"/>
          <w:szCs w:val="38"/>
          <w:rtl/>
        </w:rPr>
        <w:t xml:space="preserve">רפורמת אמו"ן במשטרת ישראל:</w:t>
      </w:r>
    </w:p>
    <w:p>
      <w:pPr>
        <w:bidi/>
        <w:spacing w:after="240"/>
        <w:jc w:val="center"/>
      </w:pPr>
      <w:r>
        <w:rPr>
          <w:rFonts w:ascii="Times New Roman" w:cs="David" w:eastAsia="David" w:hAnsi="Times New Roman"/>
          <w:b/>
          <w:bCs/>
          <w:sz w:val="38"/>
          <w:szCs w:val="38"/>
          <w:rtl/>
        </w:rPr>
        <w:t xml:space="preserve">בין אפקטיביות עקרונית ליישום בפועל</w:t>
      </w:r>
    </w:p>
    <w:p>
      <w:pPr>
        <w:bidi/>
        <w:spacing w:after="2000"/>
        <w:jc w:val="center"/>
      </w:pPr>
      <w:r>
        <w:rPr>
          <w:rFonts w:ascii="Times New Roman" w:cs="David" w:eastAsia="David" w:hAnsi="Times New Roman"/>
          <w:sz w:val="28"/>
          <w:szCs w:val="28"/>
          <w:rtl/>
        </w:rPr>
        <w:t xml:space="preserve">הפחתת עבריינות, אכיפה ולגיטימציה בקרב צעירים ערבים בני 18 עד 24</w:t>
      </w:r>
    </w:p>
    <w:p>
      <w:pPr>
        <w:bidi/>
        <w:spacing w:after="120"/>
        <w:jc w:val="center"/>
      </w:pPr>
      <w:r>
        <w:rPr>
          <w:rFonts w:ascii="Times New Roman" w:cs="David" w:eastAsia="David" w:hAnsi="Times New Roman"/>
          <w:sz w:val="26"/>
          <w:szCs w:val="26"/>
          <w:rtl/>
        </w:rPr>
        <w:t xml:space="preserve">מוגש ל: פרופ' יואב ספיר</w:t>
      </w:r>
    </w:p>
    <w:p>
      <w:pPr>
        <w:bidi/>
        <w:spacing w:after="120"/>
        <w:jc w:val="center"/>
      </w:pPr>
      <w:r>
        <w:rPr>
          <w:rFonts w:ascii="Times New Roman" w:cs="David" w:eastAsia="David" w:hAnsi="Times New Roman"/>
          <w:sz w:val="26"/>
          <w:szCs w:val="26"/>
          <w:rtl/>
        </w:rPr>
        <w:t xml:space="preserve">מגיש: יזיד גריפאת</w:t>
      </w:r>
    </w:p>
    <w:p>
      <w:pPr>
        <w:bidi/>
        <w:spacing w:after="120"/>
        <w:jc w:val="center"/>
      </w:pPr>
      <w:r>
        <w:rPr>
          <w:rFonts w:ascii="Times New Roman" w:cs="David" w:eastAsia="David" w:hAnsi="Times New Roman"/>
          <w:sz w:val="26"/>
          <w:szCs w:val="26"/>
          <w:rtl/>
        </w:rPr>
        <w:t xml:space="preserve">תאריך הגשה: </w:t>
      </w:r>
      <w:r>
        <w:rPr>
          <w:rFonts w:ascii="Times New Roman" w:cs="David" w:eastAsia="David" w:hAnsi="Times New Roman"/>
          <w:sz w:val="26"/>
          <w:szCs w:val="26"/>
          <w:shd w:fill="FFF200" w:color="auto" w:val="clear"/>
          <w:rtl/>
        </w:rPr>
        <w:t xml:space="preserve">[תאריך]</w:t>
      </w:r>
    </w:p>
    <w:p>
      <w:r>
        <w:br w:type="page"/>
      </w:r>
    </w:p>
    <w:p>
      <w:pPr>
        <w:bidi/>
        <w:spacing w:after="240"/>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Times New Roman" w:cs="David" w:eastAsia="David" w:hAnsi="Times New Roman"/>
          <w:b/>
          <w:bCs/>
          <w:sz w:val="32"/>
          <w:szCs w:val="32"/>
          <w:rtl/>
        </w:rPr>
        <w:t xml:space="preserve">1. מבוא</w:t>
      </w:r>
    </w:p>
    <w:p>
      <w:pPr>
        <w:bidi/>
        <w:spacing w:after="120" w:line="360"/>
        <w:ind w:firstLine="0"/>
        <w:jc w:val="both"/>
      </w:pPr>
      <w:r>
        <w:rPr>
          <w:rFonts w:ascii="Times New Roman" w:cs="David" w:eastAsia="David" w:hAnsi="Times New Roman"/>
          <w:sz w:val="24"/>
          <w:szCs w:val="24"/>
          <w:rtl/>
        </w:rPr>
        <w:t xml:space="preserve">האלימות בחברה הערבית בישראל איננה עוד בעיה מקומית של יישוב זה או אחר. היא משפיעה על תחושת הביטחון של ציבור רחב, והנתונים הרשמיים ממחישים את היקפה. לפי מבקר המדינה, בשנים 2014 עד 2016 היה שיעור עבירות הירי ביישובי החברה הערבית גבוה פי 17.5 מן השיעור באוכלוסייה היהודית, ושיעור הנפגעים מאירועים שבהם נעשה שימוש בנשק בלתי חוקי היה גבוה פי 12 מן השיעור במגזרים האחרים.</w:t>
      </w:r>
      <w:r>
        <w:rPr>
          <w:rStyle w:val="FootnoteReference"/>
        </w:rPr>
        <w:footnoteReference w:id="1"/>
      </w:r>
      <w:r>
        <w:rPr>
          <w:rFonts w:ascii="Times New Roman" w:cs="David" w:eastAsia="David" w:hAnsi="Times New Roman"/>
          <w:sz w:val="24"/>
          <w:szCs w:val="24"/>
          <w:rtl/>
        </w:rPr>
        <w:t xml:space="preserve"> ביקורת המעקב שפורסמה בשנת 2021 מצאה כי בשנת 2019 לבדה נרשמו 9,216 אירועי ירי, כי 94% מן החשודים בהם היו ערבים, וכי באותה שנה נרצחו בחברה הערבית 95 בני אדם.</w:t>
      </w:r>
      <w:r>
        <w:rPr>
          <w:rStyle w:val="FootnoteReference"/>
        </w:rPr>
        <w:footnoteReference w:id="2"/>
      </w:r>
      <w:r>
        <w:rPr>
          <w:rFonts w:ascii="Times New Roman" w:cs="David" w:eastAsia="David" w:hAnsi="Times New Roman"/>
          <w:sz w:val="24"/>
          <w:szCs w:val="24"/>
          <w:rtl/>
        </w:rPr>
        <w:t xml:space="preserve"> מספרים אלה מחייבים לשאול מה המדינה צריכה לעשות כדי להגן על הקהילות האלה, ואם די בהגדלת תקציבים ובהוספת שוטרים.</w:t>
      </w:r>
    </w:p>
    <w:p>
      <w:pPr>
        <w:bidi/>
        <w:spacing w:after="120" w:line="360"/>
        <w:ind w:firstLine="0"/>
        <w:jc w:val="both"/>
      </w:pPr>
      <w:r>
        <w:rPr>
          <w:rFonts w:ascii="Times New Roman" w:cs="David" w:eastAsia="David" w:hAnsi="Times New Roman"/>
          <w:sz w:val="24"/>
          <w:szCs w:val="24"/>
          <w:rtl/>
        </w:rPr>
        <w:t xml:space="preserve">התשובה מסובכת משום שהציבור הערבי מעלה שתי דרישות בו בזמן. צוות המנכ"לים שהוקם להתמודדות עם הפשיעה בחברה הערבית ייחס את חוסר האמון במשטרה לשילוב של שני כשלים: שירות שיטור חסר ולא יעיל, ולצידו שימוש באמצעי שיטור שאינם מידתיים.</w:t>
      </w:r>
      <w:r>
        <w:rPr>
          <w:rStyle w:val="FootnoteReference"/>
        </w:rPr>
        <w:footnoteReference w:id="3"/>
      </w:r>
      <w:r>
        <w:rPr>
          <w:rFonts w:ascii="Times New Roman" w:cs="David" w:eastAsia="David" w:hAnsi="Times New Roman"/>
          <w:sz w:val="24"/>
          <w:szCs w:val="24"/>
          <w:rtl/>
        </w:rPr>
        <w:t xml:space="preserve"> כלומר, אותם תושבים מבקשים יותר הגנה מפני פשיעה, וגם יחס שוויוני ומכבד מצד מי שאמור לספק אותה. ספיר מזהיר כי תגובה שמסתכמת בהרחבת סמכויות חיפוש, בהחמרת ענישה ובכוחות שיטור מיוחדים, בלי טיפול בגורמי העומק ובלי שיתוף הציבור הערבי, עלולה להוביל לתוצאות בלתי צודקות מבלי להפחית את הפשיעה.</w:t>
      </w:r>
      <w:r>
        <w:rPr>
          <w:rStyle w:val="FootnoteReference"/>
        </w:rPr>
        <w:footnoteReference w:id="4"/>
      </w:r>
      <w:r>
        <w:rPr>
          <w:rFonts w:ascii="Times New Roman" w:cs="David" w:eastAsia="David" w:hAnsi="Times New Roman"/>
          <w:sz w:val="24"/>
          <w:szCs w:val="24"/>
          <w:rtl/>
        </w:rPr>
        <w:t xml:space="preserve"> לכן השאלה אינה רק כמה שיטור נדרש, אלא איזה שיטור, לפי אילו מדדים ייחשב אפקטיבי, ובאילו גבולות משפטיים הוא רשאי לפעול כלפי קבוצת מיעוט.</w:t>
      </w:r>
    </w:p>
    <w:p>
      <w:pPr>
        <w:bidi/>
        <w:spacing w:after="120" w:line="360"/>
        <w:ind w:firstLine="0"/>
        <w:jc w:val="both"/>
      </w:pPr>
      <w:r>
        <w:rPr>
          <w:rFonts w:ascii="Times New Roman" w:cs="David" w:eastAsia="David" w:hAnsi="Times New Roman"/>
          <w:sz w:val="24"/>
          <w:szCs w:val="24"/>
          <w:rtl/>
        </w:rPr>
        <w:t xml:space="preserve">רפורמת אמו"ן, שמה המקוצר של תוכנית "אסטרטגיות מניעה ומיקוד ניהולי", היא הניסיון המרכזי של משטרת ישראל בעשור האחרון לענות על השאלה הזו. התוכנית הושקה בסוף שנת 2015, והיא בנויה על מודל השיטור המוכוון בעיות של גולדשטיין. כל תחנה נדרשת לבחור שלוש בעיות מקומיות, לנתח אותן, לבנות נגדן תוכנית פעולה ולהימדד לפי התוצאה ולא לפי היקף הפעילות.</w:t>
      </w:r>
      <w:r>
        <w:rPr>
          <w:rStyle w:val="FootnoteReference"/>
        </w:rPr>
        <w:footnoteReference w:id="5"/>
      </w:r>
      <w:r>
        <w:rPr>
          <w:rFonts w:ascii="Times New Roman" w:cs="David" w:eastAsia="David" w:hAnsi="Times New Roman"/>
          <w:sz w:val="24"/>
          <w:szCs w:val="24"/>
          <w:rtl/>
        </w:rPr>
        <w:t xml:space="preserve"> החידוש הוא בהיקף. בעולם שימש המודל בדרך כלל כמענה נקודתי לבעיה מסוימת, ואילו בישראל נעשה ניסיון להחיל אותו על המשטרה כולה, בליווי מערכת מדידה ממוחשבת שנועדה להבטיח שהעקרונות אכן יוטמעו.</w:t>
      </w:r>
      <w:r>
        <w:rPr>
          <w:rStyle w:val="FootnoteReference"/>
        </w:rPr>
        <w:footnoteReference w:id="6"/>
      </w:r>
      <w:r>
        <w:rPr>
          <w:rFonts w:ascii="Times New Roman" w:cs="David" w:eastAsia="David" w:hAnsi="Times New Roman"/>
          <w:sz w:val="24"/>
          <w:szCs w:val="24"/>
          <w:rtl/>
        </w:rPr>
        <w:t xml:space="preserve"> משום כך אמו"ן היא מקרה מבחן חשוב לשאלה אם מודל שיטור מבוסס ראיות יכול לפעול בקנה מידה לאומי.</w:t>
      </w:r>
    </w:p>
    <w:p>
      <w:pPr>
        <w:bidi/>
        <w:spacing w:after="120" w:line="360"/>
        <w:ind w:firstLine="0"/>
        <w:jc w:val="both"/>
      </w:pPr>
      <w:r>
        <w:rPr>
          <w:rFonts w:ascii="Times New Roman" w:cs="David" w:eastAsia="David" w:hAnsi="Times New Roman"/>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מן השאלה נגזרות שלוש שאלות משנה. הראשונה עוסקת בהיגיון המחקרי שעליו נשען המודל ובשאלה עד כמה הוכחה האפקטיביות של אסטרטגיות מסוגו. השנייה עוסקת באופן שבו יושם המודל בישראל, ובמיוחד בהתמודדות עם פשיעה ואלימות בחברה הערבית. השלישית שואלת אם הפערים בתוצאות נובעים מחולשה מובנית של המודל או מבעיות ביישום, ובכלל זה משאבים, אבחון הבעיות, בחירת היעדים, שיטור יתר ושיטור חסר, הוגנות ההליכים ואמון הציבור.</w:t>
      </w:r>
    </w:p>
    <w:p>
      <w:pPr>
        <w:bidi/>
        <w:spacing w:after="120" w:line="360"/>
        <w:ind w:firstLine="0"/>
        <w:jc w:val="both"/>
      </w:pPr>
      <w:r>
        <w:rPr>
          <w:rFonts w:ascii="Times New Roman" w:cs="David" w:eastAsia="David" w:hAnsi="Times New Roman"/>
          <w:sz w:val="24"/>
          <w:szCs w:val="24"/>
          <w:rtl/>
        </w:rPr>
        <w:t xml:space="preserve">הבחירה בבני 18 עד 24 נשענת על נתונים. בשנת 2023 היו 54% מן המעצרים של צעירים לא יהודים מעצרים של בני קבוצת גיל זו, ושיעור המעצרים בה עמד על 26.6 לכל אלף נפש, לעומת פחות מחמישה לאלף בקרב יהודים באותו גיל.</w:t>
      </w:r>
      <w:r>
        <w:rPr>
          <w:rStyle w:val="FootnoteReference"/>
        </w:rPr>
        <w:footnoteReference w:id="7"/>
      </w:r>
      <w:r>
        <w:rPr>
          <w:rFonts w:ascii="Times New Roman" w:cs="David" w:eastAsia="David" w:hAnsi="Times New Roman"/>
          <w:sz w:val="24"/>
          <w:szCs w:val="24"/>
          <w:rtl/>
        </w:rPr>
        <w:t xml:space="preserve"> הפער מלמד על מגע אינטנסיבי במיוחד בין הצעירים האלה לבין מערכת האכיפה. עם זאת יש להקפיד על שתי הבחנות. האחת, הנתונים המשטרתיים מסווגים את הנעצרים כ"לא יהודים", וסיווג זה אינו זהה לקבוצה הערבית. השנייה, היקף המעצרים אינו מלמד בהכרח על היקף העבריינות, וגם אינו מספר דבר על מידת הפגיעה שהצעירים עצמם חווים כקורבנות.</w:t>
      </w:r>
    </w:p>
    <w:p>
      <w:pPr>
        <w:bidi/>
        <w:spacing w:after="120" w:line="360"/>
        <w:ind w:firstLine="0"/>
        <w:jc w:val="both"/>
      </w:pPr>
      <w:r>
        <w:rPr>
          <w:rFonts w:ascii="Times New Roman" w:cs="David" w:eastAsia="David" w:hAnsi="Times New Roman"/>
          <w:sz w:val="24"/>
          <w:szCs w:val="24"/>
          <w:rtl/>
        </w:rPr>
        <w:t xml:space="preserve">יש גם מגבלה מתודולוגית שחשוב לומר מראש. מחקרי ההערכה של אמו"ן השוו בין תחנות ובין אזורי פעילות, ולא אמדו את השפעת הרפורמה על קבוצת גיל מסוימת.</w:t>
      </w:r>
      <w:r>
        <w:rPr>
          <w:rStyle w:val="FootnoteReference"/>
        </w:rPr>
        <w:footnoteReference w:id="8"/>
      </w:r>
      <w:r>
        <w:rPr>
          <w:rFonts w:ascii="Times New Roman" w:cs="David" w:eastAsia="David" w:hAnsi="Times New Roman"/>
          <w:sz w:val="24"/>
          <w:szCs w:val="24"/>
          <w:rtl/>
        </w:rPr>
        <w:t xml:space="preserve"> לכן העבודה אינה טוענת לקשר סיבתי בין הרפורמה לבין מצבם של הצעירים הערבים. היא משתמשת בקבוצה כמקרה מבחן, שבו נפגשות שלוש שאלות: פשיעה, אכיפה ולגיטימציה. המסקנות לגביה הן מסקנות על התאמת המודל ועל קשיי יישומו, ולא אומדן של השפעה.</w:t>
      </w:r>
    </w:p>
    <w:p>
      <w:pPr>
        <w:bidi/>
        <w:spacing w:after="120" w:line="360"/>
        <w:ind w:firstLine="0"/>
        <w:jc w:val="both"/>
      </w:pPr>
      <w:r>
        <w:rPr>
          <w:rFonts w:ascii="Times New Roman" w:cs="David" w:eastAsia="David" w:hAnsi="Times New Roman"/>
          <w:sz w:val="24"/>
          <w:szCs w:val="24"/>
          <w:rtl/>
        </w:rPr>
        <w:t xml:space="preserve">שיטת המחקר עיונית ומשפטית, והיא נשענת על ארבעה סוגי חומרים. הראשון הוא ספרות קרימינולוגית על שיטור, ובעיקר סקירות שיטתיות ומטא-אנליזות של אסטרטגיות שיטור יזום. השני הוא סדרת מחקרי ההערכה של אמו"ן שערך המכון לקרימינולוגיה באוניברסיטה העברית בשיתוף מחלקת האסטרטגיה של המשטרה. השלישי הוא דוחות ביקורת ומסמכי מדיניות, ובהם דוחות מבקר המדינה ומסמכי מרכז המחקר והמידע של הכנסת. הרביעי הוא חקיקה ופסיקה מישראל, מארצות הברית ומבריטניה בשאלת גבולות שיקול הדעת המשטרתי והפעלתו השוויונית.</w:t>
      </w:r>
    </w:p>
    <w:p>
      <w:pPr>
        <w:bidi/>
        <w:spacing w:after="120" w:line="360"/>
        <w:ind w:firstLine="0"/>
        <w:jc w:val="both"/>
      </w:pPr>
      <w:r>
        <w:rPr>
          <w:rFonts w:ascii="Times New Roman" w:cs="David" w:eastAsia="David" w:hAnsi="Times New Roman"/>
          <w:sz w:val="24"/>
          <w:szCs w:val="24"/>
          <w:rtl/>
        </w:rPr>
        <w:t xml:space="preserve">מבנה העבודה הוא כדלקמן. פרק 2 מגדיר ארבעה ממדים של אפקטיביות ומציג את המסגרת המשפטית שמגבילה את הפעלת הסמכויות. פרק 3 מתאר את הרציונל של אמו"ן, את מבנה התוכנית ואת מנגנוני הפעולה שלה. פרק 4 מסביר מדוע נבחרו הצעירים הערבים כמקרה מבחן, ומבחין בין היקף הפשיעה, היקף המגע עם המשטרה ואיכות התוצאה המשפטית. פרק 5 מציג את ממצאי מחקרי ההערכה. פרק 6 בוחן את ההסדרים בארצות הברית ובבריטניה. פרק 7 שוקל את משקלם של הקשיים במודל לעומת הכשלים ביישום, ופרק 8 מסכם ומציע מסקנות.</w:t>
      </w:r>
    </w:p>
    <w:p>
      <w:pPr>
        <w:pStyle w:val="Heading1"/>
        <w:pageBreakBefore/>
        <w:bidi/>
        <w:spacing w:after="160" w:before="240"/>
        <w:jc w:val="center"/>
      </w:pPr>
      <w:r>
        <w:rPr>
          <w:rFonts w:ascii="Times New Roman" w:cs="David" w:eastAsia="David" w:hAnsi="Times New Roman"/>
          <w:b/>
          <w:bCs/>
          <w:sz w:val="32"/>
          <w:szCs w:val="32"/>
          <w:rtl/>
        </w:rPr>
        <w:t xml:space="preserve">2. אפקטיביות בשיטור: מסגרת מושגית ומשפטית</w:t>
      </w:r>
    </w:p>
    <w:p>
      <w:pPr>
        <w:pStyle w:val="Heading2"/>
        <w:bidi/>
        <w:spacing w:after="160" w:before="240"/>
        <w:jc w:val="right"/>
      </w:pPr>
      <w:r>
        <w:rPr>
          <w:rFonts w:ascii="Times New Roman" w:cs="David" w:eastAsia="David" w:hAnsi="Times New Roman"/>
          <w:b/>
          <w:bCs/>
          <w:sz w:val="28"/>
          <w:szCs w:val="28"/>
          <w:rtl/>
        </w:rPr>
        <w:t xml:space="preserve">2.1 ארבעה ממדים של אפקטיביות</w:t>
      </w:r>
    </w:p>
    <w:p>
      <w:pPr>
        <w:bidi/>
        <w:spacing w:after="120" w:line="360"/>
        <w:ind w:firstLine="0"/>
        <w:jc w:val="both"/>
      </w:pPr>
      <w:r>
        <w:rPr>
          <w:rFonts w:ascii="Times New Roman" w:cs="David" w:eastAsia="David" w:hAnsi="Times New Roman"/>
          <w:sz w:val="24"/>
          <w:szCs w:val="24"/>
          <w:rtl/>
        </w:rPr>
        <w:t xml:space="preserve">גולדשטיין פתח את הצעתו בביקורת חריפה: לדבריו, המשטרה מעדיפה את האמצעים על פני המטרות, ומשקיעה את מאמצי השיפור בארגון ובשיטות העבודה יותר מאשר בתוצאות שהציבור מקבל.</w:t>
      </w:r>
      <w:r>
        <w:rPr>
          <w:rStyle w:val="FootnoteReference"/>
        </w:rPr>
        <w:footnoteReference w:id="9"/>
      </w:r>
      <w:r>
        <w:rPr>
          <w:rFonts w:ascii="Times New Roman" w:cs="David" w:eastAsia="David" w:hAnsi="Times New Roman"/>
          <w:sz w:val="24"/>
          <w:szCs w:val="24"/>
          <w:rtl/>
        </w:rPr>
        <w:t xml:space="preserve"> הביקורת הזו מבחינה בין מדידה של מאמץ לבין מדידה של הצלחה. תחנה יכולה להגדיל את מספר הסיורים, את מספר המעצרים ואת שעות העבודה שהושקעו באזור מסוים, ובכל זאת לא לשנות דבר בתופעה שבה ביקשה לטפל. כדי להשתמש בהבחנה הזו לאורך העבודה, הרפורמה תיבחן לפי ארבעה ממדים, שמשלבים את תוצאות השיטור עם איכות האכיפה ועם היחסים בין המשטרה לציבור.</w:t>
      </w:r>
    </w:p>
    <w:p>
      <w:pPr>
        <w:bidi/>
        <w:spacing w:after="120" w:line="360"/>
        <w:ind w:firstLine="0"/>
        <w:jc w:val="both"/>
      </w:pPr>
      <w:r>
        <w:rPr>
          <w:rFonts w:ascii="Times New Roman" w:cs="David" w:eastAsia="David" w:hAnsi="Times New Roman"/>
          <w:sz w:val="24"/>
          <w:szCs w:val="24"/>
          <w:rtl/>
        </w:rPr>
        <w:t xml:space="preserve">הממד הראשון הוא הפחתה בפועל של פשיעה ושל פגיעה בקורבנות. הוא נמדד לפי השינוי בתופעה עצמה, ולא לפי המשאבים שהופנו אליה. הממד השני הוא איכות האכיפה, כלומר היכולת לאסוף ראיות, להשלים חקירות ולהביא לדין את מי שביצע את העבירה. מבקר המדינה קשר במפורש את הקשיים בחקירה ובגיבוש תשתית ראייתית לשיעור הנמוך של כתבי אישום בעבירות ירי.</w:t>
      </w:r>
      <w:r>
        <w:rPr>
          <w:rStyle w:val="FootnoteReference"/>
        </w:rPr>
        <w:footnoteReference w:id="10"/>
      </w:r>
      <w:r>
        <w:rPr>
          <w:rFonts w:ascii="Times New Roman" w:cs="David" w:eastAsia="David" w:hAnsi="Times New Roman"/>
          <w:sz w:val="24"/>
          <w:szCs w:val="24"/>
          <w:rtl/>
        </w:rPr>
        <w:t xml:space="preserve"> שני הממדים קשורים, אך הם בודקים דברים שונים: ירידה במספר האירועים אינה מלמדת שמבצעי האירועים שהתרחשו נתפסו.</w:t>
      </w:r>
    </w:p>
    <w:p>
      <w:pPr>
        <w:bidi/>
        <w:spacing w:after="120" w:line="360"/>
        <w:ind w:firstLine="0"/>
        <w:jc w:val="both"/>
      </w:pPr>
      <w:r>
        <w:rPr>
          <w:rFonts w:ascii="Times New Roman" w:cs="David" w:eastAsia="David" w:hAnsi="Times New Roman"/>
          <w:sz w:val="24"/>
          <w:szCs w:val="24"/>
          <w:rtl/>
        </w:rPr>
        <w:t xml:space="preserve">הממד השלישי הוא אמון הציבור, הלגיטימיות של המשטרה והנכונות לשתף איתה פעולה. סאנשיין וטיילר מצאו שהלגיטימיות קשורה לציות לחוק ולסיוע למשטרה, ושהיא נשענת בעיקר על ההוגנות שבה המשטרה מפעילה את סמכותה.</w:t>
      </w:r>
      <w:r>
        <w:rPr>
          <w:rStyle w:val="FootnoteReference"/>
        </w:rPr>
        <w:footnoteReference w:id="11"/>
      </w:r>
      <w:r>
        <w:rPr>
          <w:rFonts w:ascii="Times New Roman" w:cs="David" w:eastAsia="David" w:hAnsi="Times New Roman"/>
          <w:sz w:val="24"/>
          <w:szCs w:val="24"/>
          <w:rtl/>
        </w:rPr>
        <w:t xml:space="preserve"> גם הפסיקה הישראלית הכירה בכך. בעניין </w:t>
      </w:r>
      <w:r>
        <w:rPr>
          <w:rFonts w:ascii="Times New Roman" w:cs="David" w:eastAsia="David" w:hAnsi="Times New Roman"/>
          <w:b/>
          <w:bCs/>
          <w:sz w:val="24"/>
          <w:szCs w:val="24"/>
          <w:rtl/>
        </w:rPr>
        <w:t xml:space="preserve">סויסא</w:t>
      </w:r>
      <w:r>
        <w:rPr>
          <w:rFonts w:ascii="Times New Roman" w:cs="David" w:eastAsia="David" w:hAnsi="Times New Roman"/>
          <w:sz w:val="24"/>
          <w:szCs w:val="24"/>
          <w:rtl/>
        </w:rPr>
        <w:t xml:space="preserve"> נקבע שללא יחסי אמון בין המשטרה לבין הקהילה שהיא משרתת, המשטרה לא תוכל למלא את משימותיה.</w:t>
      </w:r>
      <w:r>
        <w:rPr>
          <w:rStyle w:val="FootnoteReference"/>
        </w:rPr>
        <w:footnoteReference w:id="12"/>
      </w:r>
      <w:r>
        <w:rPr>
          <w:rFonts w:ascii="Times New Roman" w:cs="David" w:eastAsia="David" w:hAnsi="Times New Roman"/>
          <w:sz w:val="24"/>
          <w:szCs w:val="24"/>
          <w:rtl/>
        </w:rPr>
        <w:t xml:space="preserve"> הממד הרביעי הוא שוויון והוגנות בין קבוצות, והוא נבחן כאן גם כשאלה משפטית עצמאית.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עמד בית המשפט העליון על הקשר בין היעדר אמות מידה ברורות להפעלת סמכות לבין הפליה של מיעוטים.</w:t>
      </w:r>
      <w:r>
        <w:rPr>
          <w:rStyle w:val="FootnoteReference"/>
        </w:rPr>
        <w:footnoteReference w:id="13"/>
      </w:r>
      <w:r>
        <w:rPr>
          <w:rFonts w:ascii="Times New Roman" w:cs="David" w:eastAsia="David" w:hAnsi="Times New Roman"/>
          <w:sz w:val="24"/>
          <w:szCs w:val="24"/>
          <w:rtl/>
        </w:rPr>
        <w:t xml:space="preserve"> אכיפה שנתפסת כמפלה פוגעת באמון, ומשם גם בנכונות לפנות למשטרה ולדווח לה.</w:t>
      </w:r>
    </w:p>
    <w:p>
      <w:pPr>
        <w:bidi/>
        <w:spacing w:after="120" w:line="360"/>
        <w:ind w:firstLine="0"/>
        <w:jc w:val="both"/>
      </w:pPr>
      <w:r>
        <w:rPr>
          <w:rFonts w:ascii="Times New Roman" w:cs="David" w:eastAsia="David" w:hAnsi="Times New Roman"/>
          <w:sz w:val="24"/>
          <w:szCs w:val="24"/>
          <w:rtl/>
        </w:rPr>
        <w:t xml:space="preserve">ארבעת הממדים אינם נעים תמיד באותו כיוון. ועדת המומחים של האקדמיות הלאומיות האמריקאיות מצאה ראיות לכך ששיטור נקודות חמות מפחית פשיעה בטווח הקצר, אך במחקרים על התערבויות שממוקדות באנשים נמצא קשר שלילי בין חשיפה לאכיפה אינטנסיבית לבין יחסם של הנחשפים למשטרה.</w:t>
      </w:r>
      <w:r>
        <w:rPr>
          <w:rStyle w:val="FootnoteReference"/>
        </w:rPr>
        <w:footnoteReference w:id="14"/>
      </w:r>
      <w:r>
        <w:rPr>
          <w:rFonts w:ascii="Times New Roman" w:cs="David" w:eastAsia="David" w:hAnsi="Times New Roman"/>
          <w:sz w:val="24"/>
          <w:szCs w:val="24"/>
          <w:rtl/>
        </w:rPr>
        <w:t xml:space="preserve"> הממצאים עוסקים בסוגי התערבות שונים, ולכן אין להסיק מהם שכל מיקוד פוגע באמון. המסקנה היא אחרת: טענה שרפורמה הצליחה צריכה לציין באיזה ממד מדובר, ומה קרה בממדים האחרים.</w:t>
      </w:r>
    </w:p>
    <w:p>
      <w:pPr>
        <w:bidi/>
        <w:spacing w:after="120" w:line="360"/>
        <w:ind w:firstLine="0"/>
        <w:jc w:val="both"/>
      </w:pPr>
      <w:r>
        <w:rPr>
          <w:rFonts w:ascii="Times New Roman" w:cs="David" w:eastAsia="David" w:hAnsi="Times New Roman"/>
          <w:sz w:val="24"/>
          <w:szCs w:val="24"/>
          <w:rtl/>
        </w:rPr>
        <w:t xml:space="preserve">יש להבחין גם בין מדדים ארגוניים לבין חוויית הציבור. טיילר, גוף ומקון מתארים את התפתחות סדר היום של השיטור האמריקאי, מהתמקדות במקצועיות ובמאבק בפשיעה אל התמקדות ביחסים עם הקהילות.</w:t>
      </w:r>
      <w:r>
        <w:rPr>
          <w:rStyle w:val="FootnoteReference"/>
        </w:rPr>
        <w:footnoteReference w:id="15"/>
      </w:r>
      <w:r>
        <w:rPr>
          <w:rFonts w:ascii="Times New Roman" w:cs="David" w:eastAsia="David" w:hAnsi="Times New Roman"/>
          <w:sz w:val="24"/>
          <w:szCs w:val="24"/>
          <w:rtl/>
        </w:rPr>
        <w:t xml:space="preserve"> 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6"/>
      </w:r>
      <w:r>
        <w:rPr>
          <w:rFonts w:ascii="Times New Roman" w:cs="David" w:eastAsia="David" w:hAnsi="Times New Roman"/>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w:t>
      </w:r>
    </w:p>
    <w:p>
      <w:pPr>
        <w:bidi/>
        <w:spacing w:after="120" w:line="360"/>
        <w:ind w:firstLine="0"/>
        <w:jc w:val="both"/>
      </w:pPr>
      <w:r>
        <w:rPr>
          <w:rFonts w:ascii="Times New Roman" w:cs="David" w:eastAsia="David" w:hAnsi="Times New Roman"/>
          <w:sz w:val="24"/>
          <w:szCs w:val="24"/>
          <w:rtl/>
        </w:rPr>
        <w:t xml:space="preserve">לבסוף, חלק מן הממדים כמעט אינם נמדדים. ועדת האקדמיות הלאומיות הדגישה שגם כאשר אסטרטגיות של שיטור יזום אינן מפרות את החוקה, הן עלולות לשחוק ערכים משפטיים כמו פרטיות, שוויון ואחריותיות, וכי המחקר האמפירי כמעט אינו בודק השלכות כאלה.</w:t>
      </w:r>
      <w:r>
        <w:rPr>
          <w:rStyle w:val="FootnoteReference"/>
        </w:rPr>
        <w:footnoteReference w:id="17"/>
      </w:r>
      <w:r>
        <w:rPr>
          <w:rFonts w:ascii="Times New Roman" w:cs="David" w:eastAsia="David" w:hAnsi="Times New Roman"/>
          <w:sz w:val="24"/>
          <w:szCs w:val="24"/>
          <w:rtl/>
        </w:rPr>
        <w:t xml:space="preserve"> הפער בין מה שנמדד לבין מה שחשוב ילווה את כל הדיון בהמשך.</w:t>
      </w:r>
    </w:p>
    <w:p>
      <w:pPr>
        <w:pStyle w:val="Heading2"/>
        <w:bidi/>
        <w:spacing w:after="160" w:before="240"/>
        <w:jc w:val="right"/>
      </w:pPr>
      <w:r>
        <w:rPr>
          <w:rFonts w:ascii="Times New Roman" w:cs="David" w:eastAsia="David" w:hAnsi="Times New Roman"/>
          <w:b/>
          <w:bCs/>
          <w:sz w:val="28"/>
          <w:szCs w:val="28"/>
          <w:rtl/>
        </w:rPr>
        <w:t xml:space="preserve">2.2 שיטור מוכוון בעיות ומשפחת השיטור היזום</w:t>
      </w:r>
    </w:p>
    <w:p>
      <w:pPr>
        <w:bidi/>
        <w:spacing w:after="120" w:line="360"/>
        <w:ind w:firstLine="0"/>
        <w:jc w:val="both"/>
      </w:pPr>
      <w:r>
        <w:rPr>
          <w:rFonts w:ascii="Times New Roman" w:cs="David" w:eastAsia="David" w:hAnsi="Times New Roman"/>
          <w:sz w:val="24"/>
          <w:szCs w:val="24"/>
          <w:rtl/>
        </w:rPr>
        <w:t xml:space="preserve">גולדשטיין הציע לחייב את המשטרה לבחון באופן שיטתי את הבעיות שהציבור מצפה שתטפל בהן: להגדיר אותן במדויק, לתעד את התגובה המשטרתית הקיימת, לבדוק אם היא מתאימה, ולשקול מגוון רחב של חלופות.</w:t>
      </w:r>
      <w:r>
        <w:rPr>
          <w:rStyle w:val="FootnoteReference"/>
        </w:rPr>
        <w:footnoteReference w:id="18"/>
      </w:r>
      <w:r>
        <w:rPr>
          <w:rFonts w:ascii="Times New Roman" w:cs="David" w:eastAsia="David" w:hAnsi="Times New Roman"/>
          <w:sz w:val="24"/>
          <w:szCs w:val="24"/>
          <w:rtl/>
        </w:rPr>
        <w:t xml:space="preserve"> אק וספלמן הפכו את הרעיון לשיטת עבודה בת ארבעה שלבים: סריקה, ניתוח, תגובה והערכה. השיטה, המוכרת בשם </w:t>
      </w:r>
      <w:r>
        <w:rPr>
          <w:rFonts w:ascii="Times New Roman" w:cs="David" w:eastAsia="David" w:hAnsi="Times New Roman"/>
          <w:sz w:val="24"/>
          <w:szCs w:val="24"/>
          <w:rtl w:val="false"/>
        </w:rPr>
        <w:t xml:space="preserve">SARA‎</w:t>
      </w:r>
      <w:r>
        <w:rPr>
          <w:rFonts w:ascii="Times New Roman" w:cs="David" w:eastAsia="David" w:hAnsi="Times New Roman"/>
          <w:sz w:val="24"/>
          <w:szCs w:val="24"/>
          <w:rtl/>
        </w:rPr>
        <w:t xml:space="preserve">, מתארת תהליך סדור מן הזיהוי הראשוני של הבעיה ועד לבדיקת התוצאות.</w:t>
      </w:r>
      <w:r>
        <w:rPr>
          <w:rStyle w:val="FootnoteReference"/>
        </w:rPr>
        <w:footnoteReference w:id="19"/>
      </w:r>
      <w:r>
        <w:rPr>
          <w:rFonts w:ascii="Times New Roman" w:cs="David" w:eastAsia="David" w:hAnsi="Times New Roman"/>
          <w:sz w:val="24"/>
          <w:szCs w:val="24"/>
          <w:rtl/>
        </w:rPr>
        <w:t xml:space="preserve"> הרעיון המרכזי הוא מעבר מטיפול באירוע בודד לטיפול בבעיה מתמשכת, שהאירוע הוא רק ביטוי אחד שלה.</w:t>
      </w:r>
    </w:p>
    <w:p>
      <w:pPr>
        <w:bidi/>
        <w:spacing w:after="120" w:line="360"/>
        <w:ind w:firstLine="0"/>
        <w:jc w:val="both"/>
      </w:pPr>
      <w:r>
        <w:rPr>
          <w:rFonts w:ascii="Times New Roman" w:cs="David" w:eastAsia="David" w:hAnsi="Times New Roman"/>
          <w:sz w:val="24"/>
          <w:szCs w:val="24"/>
          <w:rtl/>
        </w:rPr>
        <w:t xml:space="preserve">לגישה יש בסיס מחקרי רחב. מטא-אנליזה משנת 2020, שכללה 34 מחקרי הערכה, מצאה ירידה מובהקת של כ-34% בפשיעה ובאי-סדר בעקבות שיטור מוכוון בעיות. עוד נמצא שתוכניות ממוקדות מקום נוטות להפחית פשיעה גם באזורים הסמוכים, תופעה המכונה "פיזור התועלת", יותר משהן דוחקות את הפשיעה למקום אחר. במחקרים האקראיים ובניתוחים שתוקנו להטיות היה האפקט קטן יותר, אך עדיין מובהק.</w:t>
      </w:r>
      <w:r>
        <w:rPr>
          <w:rStyle w:val="FootnoteReference"/>
        </w:rPr>
        <w:footnoteReference w:id="20"/>
      </w:r>
      <w:r>
        <w:rPr>
          <w:rFonts w:ascii="Times New Roman" w:cs="David" w:eastAsia="David" w:hAnsi="Times New Roman"/>
          <w:sz w:val="24"/>
          <w:szCs w:val="24"/>
          <w:rtl/>
        </w:rPr>
        <w:t xml:space="preserve"> אותה סקירה מציינת שהיישום בפועל אינו אחיד, ושלעיתים קרובות מיושמות גרסאות מדוללות של המודל. לכן כל רפורמה ספציפית צריכה להיבחן גם לפי איכות ההטמעה, ולא רק לפי הבסיס התיאורטי שלה.</w:t>
      </w:r>
    </w:p>
    <w:p>
      <w:pPr>
        <w:bidi/>
        <w:spacing w:after="120" w:line="360"/>
        <w:ind w:firstLine="0"/>
        <w:jc w:val="both"/>
      </w:pPr>
      <w:r>
        <w:rPr>
          <w:rFonts w:ascii="Times New Roman" w:cs="David" w:eastAsia="David" w:hAnsi="Times New Roman"/>
          <w:sz w:val="24"/>
          <w:szCs w:val="24"/>
          <w:rtl/>
        </w:rPr>
        <w:t xml:space="preserve">שיטור מוכוון בעיות הוא אחת מארבע גישות שמרכיבות את מה שמכונה "שיטור יזום". לצידו עומדות אסטרטגיות ממוקדות מקום, אסטרטגיות ממוקדות אנשים ואסטרטגיות קהילתיות.</w:t>
      </w:r>
      <w:r>
        <w:rPr>
          <w:rStyle w:val="FootnoteReference"/>
        </w:rPr>
        <w:footnoteReference w:id="21"/>
      </w:r>
      <w:r>
        <w:rPr>
          <w:rFonts w:ascii="Times New Roman" w:cs="David" w:eastAsia="David" w:hAnsi="Times New Roman"/>
          <w:sz w:val="24"/>
          <w:szCs w:val="24"/>
          <w:rtl/>
        </w:rPr>
        <w:t xml:space="preserve"> לכל אחת מהן בסיס ראיות משלה. שיטור נקודות חמות נשען על הממצא שהפשיעה מרוכזת במספר קטן של מקומות קטנים, וסקירה שיטתית מצאה השפעה עקבית של הפחתת פשיעה באזורי היעד.</w:t>
      </w:r>
      <w:r>
        <w:rPr>
          <w:rStyle w:val="FootnoteReference"/>
        </w:rPr>
        <w:footnoteReference w:id="22"/>
      </w:r>
      <w:r>
        <w:rPr>
          <w:rFonts w:ascii="Times New Roman" w:cs="David" w:eastAsia="David" w:hAnsi="Times New Roman"/>
          <w:sz w:val="24"/>
          <w:szCs w:val="24"/>
          <w:rtl/>
        </w:rPr>
        <w:t xml:space="preserve"> סקירה מאוחרת יותר אמדה את ההשפעה הכוללת בירידה של כ-17% בעבריינות, עם הבדלים ניכרים בין סוגי ההתערבות.</w:t>
      </w:r>
      <w:r>
        <w:rPr>
          <w:rStyle w:val="FootnoteReference"/>
        </w:rPr>
        <w:footnoteReference w:id="23"/>
      </w:r>
    </w:p>
    <w:p>
      <w:pPr>
        <w:bidi/>
        <w:spacing w:after="120" w:line="360"/>
        <w:ind w:firstLine="0"/>
        <w:jc w:val="both"/>
      </w:pPr>
      <w:r>
        <w:rPr>
          <w:rFonts w:ascii="Times New Roman" w:cs="David" w:eastAsia="David" w:hAnsi="Times New Roman"/>
          <w:sz w:val="24"/>
          <w:szCs w:val="24"/>
          <w:rtl/>
        </w:rPr>
        <w:t xml:space="preserve">הרתעה ממוקדת פועלת אחרת. היא פונה לקבוצה קטנה של עבריינים פעילים, ומשלבת אכיפה מוגברת עם מעורבות הקהילה ועם שירותים חברתיים, תוך העברת מסר ישיר לקבוצת היעד. מטא-אנליזה משנת 2019 מצאה לה אפקט מתון ומובהק, גדול יותר בתוכניות שכוונו לכנופיות ולקבוצות עברייניות, וקטן יותר במחקרים בעלי מערך קפדני יותר.</w:t>
      </w:r>
      <w:r>
        <w:rPr>
          <w:rStyle w:val="FootnoteReference"/>
        </w:rPr>
        <w:footnoteReference w:id="24"/>
      </w:r>
      <w:r>
        <w:rPr>
          <w:rFonts w:ascii="Times New Roman" w:cs="David" w:eastAsia="David" w:hAnsi="Times New Roman"/>
          <w:sz w:val="24"/>
          <w:szCs w:val="24"/>
          <w:rtl/>
        </w:rPr>
        <w:t xml:space="preserve"> המדריך המקצועי של הגישה מתאר רצף של שישה שלבים: תכנון ובניית שותפויות, בחירת קבוצת היעד, מפגש התרעה, אכיפה לצד שירותים, תקשורת המשך והערכה.</w:t>
      </w:r>
      <w:r>
        <w:rPr>
          <w:rStyle w:val="FootnoteReference"/>
        </w:rPr>
        <w:footnoteReference w:id="25"/>
      </w:r>
      <w:r>
        <w:rPr>
          <w:rFonts w:ascii="Times New Roman" w:cs="David" w:eastAsia="David" w:hAnsi="Times New Roman"/>
          <w:sz w:val="24"/>
          <w:szCs w:val="24"/>
          <w:rtl/>
        </w:rPr>
        <w:t xml:space="preserve"> השילוב בין השלבים הוא חלק מהגישה עצמה. מי שמפעיל רק את רכיב האכיפה אינו יכול לצפות לתוצאות שנמדדו בתוכניות שכללו גם קהילה וסיוע.</w:t>
      </w:r>
    </w:p>
    <w:p>
      <w:pPr>
        <w:bidi/>
        <w:spacing w:after="120" w:line="360"/>
        <w:ind w:firstLine="0"/>
        <w:jc w:val="both"/>
      </w:pPr>
      <w:r>
        <w:rPr>
          <w:rFonts w:ascii="Times New Roman" w:cs="David" w:eastAsia="David" w:hAnsi="Times New Roman"/>
          <w:sz w:val="24"/>
          <w:szCs w:val="24"/>
          <w:rtl/>
        </w:rPr>
        <w:t xml:space="preserve">המשותף לכל הגישות האלה הוא המיקוד, וכאן גם נמצאת נקודת התורפה המשפטית שלהן. ככל שהמיקוד מדויק יותר, גדל החשש שבשטח הוא יהפוך למיקוד באוכלוסייה מסוימת. ועדת האקדמיות הלאומיות קבעה שכאשר המשטרה ממקדת את פעילותה באנשים או במקומות בסיכון גבוה, צפויים להיווצר פערים גזעיים גדולים בהיקף המפגשים עם אזרחים ובאופיים.</w:t>
      </w:r>
      <w:r>
        <w:rPr>
          <w:rStyle w:val="FootnoteReference"/>
        </w:rPr>
        <w:footnoteReference w:id="26"/>
      </w:r>
      <w:r>
        <w:rPr>
          <w:rFonts w:ascii="Times New Roman" w:cs="David" w:eastAsia="David" w:hAnsi="Times New Roman"/>
          <w:sz w:val="24"/>
          <w:szCs w:val="24"/>
          <w:rtl/>
        </w:rPr>
        <w:t xml:space="preserve"> פער כזה אינו הוכחה לאפליה, אבל הוא מחייב לבדוק לפי אילו אמות מידה נבחרו היעדים ואיך הופעלה הסמכות בפועל.</w:t>
      </w:r>
    </w:p>
    <w:p>
      <w:pPr>
        <w:bidi/>
        <w:spacing w:after="120" w:line="360"/>
        <w:ind w:firstLine="0"/>
        <w:jc w:val="both"/>
      </w:pPr>
      <w:r>
        <w:rPr>
          <w:rFonts w:ascii="Times New Roman" w:cs="David" w:eastAsia="David" w:hAnsi="Times New Roman"/>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לכן מידת הסיכון נקבעת לפי הפעולות שנכללות בתוכנית, ולא לפי שמה. ועדת האקדמיות הלאומיות מצאה שבהתערבויות של פתרון בעיות כמעט לא נמצאו השפעות שליליות על עמדות הציבור,</w:t>
      </w:r>
      <w:r>
        <w:rPr>
          <w:rStyle w:val="FootnoteReference"/>
        </w:rPr>
        <w:footnoteReference w:id="27"/>
      </w:r>
      <w:r>
        <w:rPr>
          <w:rFonts w:ascii="Times New Roman" w:cs="David" w:eastAsia="David" w:hAnsi="Times New Roman"/>
          <w:sz w:val="24"/>
          <w:szCs w:val="24"/>
          <w:rtl/>
        </w:rPr>
        <w:t xml:space="preserve"> ואילו בקרב מי שנחשפו לאסטרטגיות ממוקדות אנשים נמצא קשר שלילי בולט בין החשיפה לבין עמדותיהם.</w:t>
      </w:r>
      <w:r>
        <w:rPr>
          <w:rStyle w:val="FootnoteReference"/>
        </w:rPr>
        <w:footnoteReference w:id="28"/>
      </w:r>
      <w:r>
        <w:rPr>
          <w:rFonts w:ascii="Times New Roman" w:cs="David" w:eastAsia="David" w:hAnsi="Times New Roman"/>
          <w:sz w:val="24"/>
          <w:szCs w:val="24"/>
          <w:rtl/>
        </w:rPr>
        <w:t xml:space="preserve"> תמהיל הכלים שתחנה בוחרת קובע אפוא לא רק את סיכויי ההצלחה, אלא גם את הסיכון שמתלווה אליה.</w:t>
      </w:r>
    </w:p>
    <w:p>
      <w:pPr>
        <w:pStyle w:val="Heading2"/>
        <w:bidi/>
        <w:spacing w:after="160" w:before="240"/>
        <w:jc w:val="right"/>
      </w:pPr>
      <w:r>
        <w:rPr>
          <w:rFonts w:ascii="Times New Roman" w:cs="David" w:eastAsia="David" w:hAnsi="Times New Roman"/>
          <w:b/>
          <w:bCs/>
          <w:sz w:val="28"/>
          <w:szCs w:val="28"/>
          <w:rtl/>
        </w:rPr>
        <w:t xml:space="preserve">2.3 שיטור יתר, שיטור חסר והוגנות ההליכים</w:t>
      </w:r>
    </w:p>
    <w:p>
      <w:pPr>
        <w:bidi/>
        <w:spacing w:after="120" w:line="360"/>
        <w:ind w:firstLine="0"/>
        <w:jc w:val="both"/>
      </w:pPr>
      <w:r>
        <w:rPr>
          <w:rFonts w:ascii="Times New Roman" w:cs="David" w:eastAsia="David" w:hAnsi="Times New Roman"/>
          <w:sz w:val="24"/>
          <w:szCs w:val="24"/>
          <w:rtl/>
        </w:rPr>
        <w:t xml:space="preserve">נטפוף מציינת שמערכת המשפט הפלילי האמריקאית ידועה דווקא בעודף: ריבוי עבירות, הפללת יתר וענישה מחמירה. מול התמונה הזו היא מציבה את ההפך, את הכשל השיטתי בהגנה על קהילות שלמות.</w:t>
      </w:r>
      <w:r>
        <w:rPr>
          <w:rStyle w:val="FootnoteReference"/>
        </w:rPr>
        <w:footnoteReference w:id="29"/>
      </w:r>
      <w:r>
        <w:rPr>
          <w:rFonts w:ascii="Times New Roman" w:cs="David" w:eastAsia="David" w:hAnsi="Times New Roman"/>
          <w:sz w:val="24"/>
          <w:szCs w:val="24"/>
          <w:rtl/>
        </w:rPr>
        <w:t xml:space="preserve"> שני הכשלים יכולים להתקיים יחד, באותה אוכלוסייה ובאותה תקופה. זה ההסבר לכך שאותה קהילה יכולה להתלונן בו בזמן על נוכחות משטרתית מופרזת ועל היעדר הגנה.</w:t>
      </w:r>
    </w:p>
    <w:p>
      <w:pPr>
        <w:bidi/>
        <w:spacing w:after="120" w:line="360"/>
        <w:ind w:firstLine="0"/>
        <w:jc w:val="both"/>
      </w:pPr>
      <w:r>
        <w:rPr>
          <w:rFonts w:ascii="Times New Roman" w:cs="David" w:eastAsia="David" w:hAnsi="Times New Roman"/>
          <w:sz w:val="24"/>
          <w:szCs w:val="24"/>
          <w:rtl/>
        </w:rPr>
        <w:t xml:space="preserve">חסייסי וליטמנוביץ מתארים את אותו דפוס בישראל: בני קבוצת המיעוט חווים שיטור מופרז כחשודים ושיטור חסר כקורבנות, והדפוס הזה עלול לעורר ניכור, לפגוע בציות לחוק ולהחליש את שיתוף הפעולה עם המשטרה.</w:t>
      </w:r>
      <w:r>
        <w:rPr>
          <w:rStyle w:val="FootnoteReference"/>
        </w:rPr>
        <w:footnoteReference w:id="30"/>
      </w:r>
      <w:r>
        <w:rPr>
          <w:rFonts w:ascii="Times New Roman" w:cs="David" w:eastAsia="David" w:hAnsi="Times New Roman"/>
          <w:sz w:val="24"/>
          <w:szCs w:val="24"/>
          <w:rtl/>
        </w:rPr>
        <w:t xml:space="preserve"> ההשלכות אינן רק עמדות. כאשר נוכחותו של הסדר החוקי נחלשת, מתחזקים מנגנונים מסורתיים של יישוב סכסוכים, שנתפסים כאותנטיים בקהילה, ולצידם מתפתחות דרכים לעשיית סדר מחוץ לחוק.</w:t>
      </w:r>
      <w:r>
        <w:rPr>
          <w:rStyle w:val="FootnoteReference"/>
        </w:rPr>
        <w:footnoteReference w:id="31"/>
      </w:r>
      <w:r>
        <w:rPr>
          <w:rFonts w:ascii="Times New Roman" w:cs="David" w:eastAsia="David" w:hAnsi="Times New Roman"/>
          <w:sz w:val="24"/>
          <w:szCs w:val="24"/>
          <w:rtl/>
        </w:rPr>
        <w:t xml:space="preserve"> נוצר מרחב שבו החוק חל אך אינו מגן.</w:t>
      </w:r>
    </w:p>
    <w:p>
      <w:pPr>
        <w:bidi/>
        <w:spacing w:after="120" w:line="360"/>
        <w:ind w:firstLine="0"/>
        <w:jc w:val="both"/>
      </w:pPr>
      <w:r>
        <w:rPr>
          <w:rFonts w:ascii="Times New Roman" w:cs="David" w:eastAsia="David" w:hAnsi="Times New Roman"/>
          <w:sz w:val="24"/>
          <w:szCs w:val="24"/>
          <w:rtl/>
        </w:rPr>
        <w:t xml:space="preserve">בל מנסחת את אותה תופעה במונחים מבניים. לטענתה, שיטת הפיקוח על המשטרה מביאה חלקים רחבים בחברה לראות את עצמם כנתונים לחוק אך לא מוגנים על ידו, ו"הניכור המשפטי" שהיא מתארת הוא התחושה שהחוק פועל להוציא אותם מן החברה ולא לכלול אותם בה.</w:t>
      </w:r>
      <w:r>
        <w:rPr>
          <w:rStyle w:val="FootnoteReference"/>
        </w:rPr>
        <w:footnoteReference w:id="32"/>
      </w:r>
      <w:r>
        <w:rPr>
          <w:rFonts w:ascii="Times New Roman" w:cs="David" w:eastAsia="David" w:hAnsi="Times New Roman"/>
          <w:sz w:val="24"/>
          <w:szCs w:val="24"/>
          <w:rtl/>
        </w:rPr>
        <w:t xml:space="preserve"> ההבדל בין ניכור משפטי לבין חוסר לגיטימיות אינו סמנטי. חוסר לגיטימיות עוסק ביחס של הפרט לסמכות, ולכן הפתרון המתבקש הוא שיפור המפגש: הכשרת שוטרים ויחס מכבד. ניכור משפטי עוסק במבנה שיוצר את היחס הזה, ולכן הוא מחייב שינוי בהיקף ההגנה שהקהילה מקבלת ובאופן הפיקוח על המשטרה. בל רואה בתיאוריית הלגיטימיות אבחנה חלקית, שממעיטה בחשיבות של גישות מבניות וקבוצתיות.</w:t>
      </w:r>
      <w:r>
        <w:rPr>
          <w:rStyle w:val="FootnoteReference"/>
        </w:rPr>
        <w:footnoteReference w:id="33"/>
      </w:r>
      <w:r>
        <w:rPr>
          <w:rFonts w:ascii="Times New Roman" w:cs="David" w:eastAsia="David" w:hAnsi="Times New Roman"/>
          <w:sz w:val="24"/>
          <w:szCs w:val="24"/>
          <w:rtl/>
        </w:rPr>
        <w:t xml:space="preserve"> השאלה מה בדיוק אמו"ן מבקשת לתקן תחזור בפרק 7.</w:t>
      </w:r>
    </w:p>
    <w:p>
      <w:pPr>
        <w:bidi/>
        <w:spacing w:after="120" w:line="360"/>
        <w:ind w:firstLine="0"/>
        <w:jc w:val="both"/>
      </w:pPr>
      <w:r>
        <w:rPr>
          <w:rFonts w:ascii="Times New Roman" w:cs="David" w:eastAsia="David" w:hAnsi="Times New Roman"/>
          <w:sz w:val="24"/>
          <w:szCs w:val="24"/>
          <w:rtl/>
        </w:rPr>
        <w:t xml:space="preserve">מן הצד השני עומדת גישת הוגנות ההליכים. סאנשיין וטיילר בדקו בשני סקרים בניו יורק את משקלה של הלגיטימיות לעומת שיקולים של תועלת, כמו הסיכון להיתפס והערכת ביצועי המשטרה. הם מצאו שהלגיטימיות משפיעה במידה רבה על תגובת הציבור, ושהגורם המרכזי שמנבא אותה הוא הוגנות ההליכים שבהם המשטרה מפעילה את סמכותה.</w:t>
      </w:r>
      <w:r>
        <w:rPr>
          <w:rStyle w:val="FootnoteReference"/>
        </w:rPr>
        <w:footnoteReference w:id="34"/>
      </w:r>
      <w:r>
        <w:rPr>
          <w:rFonts w:ascii="Times New Roman" w:cs="David" w:eastAsia="David" w:hAnsi="Times New Roman"/>
          <w:sz w:val="24"/>
          <w:szCs w:val="24"/>
          <w:rtl/>
        </w:rPr>
        <w:t xml:space="preserve"> טיילר, גוף ומקון הוסיפו שהעלייה במקצועיות המשטרה והירידה החדה בפשיעה בארצות הברית לא הביאו לעלייה מקבילה בלגיטימיות שלה.</w:t>
      </w:r>
      <w:r>
        <w:rPr>
          <w:rStyle w:val="FootnoteReference"/>
        </w:rPr>
        <w:footnoteReference w:id="35"/>
      </w:r>
    </w:p>
    <w:p>
      <w:pPr>
        <w:bidi/>
        <w:spacing w:after="120" w:line="360"/>
        <w:ind w:firstLine="0"/>
        <w:jc w:val="both"/>
      </w:pPr>
      <w:r>
        <w:rPr>
          <w:rFonts w:ascii="Times New Roman" w:cs="David" w:eastAsia="David" w:hAnsi="Times New Roman"/>
          <w:sz w:val="24"/>
          <w:szCs w:val="24"/>
          <w:rtl/>
        </w:rPr>
        <w:t xml:space="preserve">לקשר הזה יש השלכות מדידות. סקוגן מצא שההשפעה של מפגש שלילי עם שוטר על עמדות הציבור חזקה בהרבה מן ההשפעה של מפגש חיובי.</w:t>
      </w:r>
      <w:r>
        <w:rPr>
          <w:rStyle w:val="FootnoteReference"/>
        </w:rPr>
        <w:footnoteReference w:id="36"/>
      </w:r>
      <w:r>
        <w:rPr>
          <w:rFonts w:ascii="Times New Roman" w:cs="David" w:eastAsia="David" w:hAnsi="Times New Roman"/>
          <w:sz w:val="24"/>
          <w:szCs w:val="24"/>
          <w:rtl/>
        </w:rPr>
        <w:t xml:space="preserve"> דזמונד, פפכריסטוס וקירק בחנו מה קרה במילווקי אחרי פרסום מקרה בולט של אלימות שוטרים: מספר הקריאות למוקד המשטרה ירד, הירידה נמשכה יותר משנה, והפער בין מספר הקריאות בפועל לבין המספר הצפוי נאמד בכ-22,200 קריאות.</w:t>
      </w:r>
      <w:r>
        <w:rPr>
          <w:rStyle w:val="FootnoteReference"/>
        </w:rPr>
        <w:footnoteReference w:id="37"/>
      </w:r>
      <w:r>
        <w:rPr>
          <w:rFonts w:ascii="Times New Roman" w:cs="David" w:eastAsia="David" w:hAnsi="Times New Roman"/>
          <w:sz w:val="24"/>
          <w:szCs w:val="24"/>
          <w:rtl/>
        </w:rPr>
        <w:t xml:space="preserve"> כשהדיווח נשחק, נפגע הבסיס של כל מודל שיטור שמבקש לזהות בעיות מקומיות מתוך נתוני הדיווח.</w:t>
      </w:r>
    </w:p>
    <w:p>
      <w:pPr>
        <w:bidi/>
        <w:spacing w:after="120" w:line="360"/>
        <w:ind w:firstLine="0"/>
        <w:jc w:val="both"/>
      </w:pPr>
      <w:r>
        <w:rPr>
          <w:rFonts w:ascii="Times New Roman" w:cs="David" w:eastAsia="David" w:hAnsi="Times New Roman"/>
          <w:sz w:val="24"/>
          <w:szCs w:val="24"/>
          <w:rtl/>
        </w:rPr>
        <w:t xml:space="preserve">לא כל אסטרטגיה יזומה פוגעת באמון באותה מידה. ועדת האקדמיות הלאומיות מצאה שהתערבויות של פתרון בעיות הביאו לשיפור קטן עד בינוני בשביעות רצון הציבור בטווח הקצר, וכמעט לא נמצאו להן השפעות שליליות.</w:t>
      </w:r>
      <w:r>
        <w:rPr>
          <w:rStyle w:val="FootnoteReference"/>
        </w:rPr>
        <w:footnoteReference w:id="38"/>
      </w:r>
      <w:r>
        <w:rPr>
          <w:rFonts w:ascii="Times New Roman" w:cs="David" w:eastAsia="David" w:hAnsi="Times New Roman"/>
          <w:sz w:val="24"/>
          <w:szCs w:val="24"/>
          <w:rtl/>
        </w:rPr>
        <w:t xml:space="preserve"> לעומת זאת, מחקרים שבדקו את חוויותיהם של אזרחים שנחשפו לעיכובים, לתשאול, לחיפושים ולאכיפת תנועה יזומה מצאו קשר שלילי בולט בין החשיפה לבין עמדותיהם.</w:t>
      </w:r>
      <w:r>
        <w:rPr>
          <w:rStyle w:val="FootnoteReference"/>
        </w:rPr>
        <w:footnoteReference w:id="39"/>
      </w:r>
      <w:r>
        <w:rPr>
          <w:rFonts w:ascii="Times New Roman" w:cs="David" w:eastAsia="David" w:hAnsi="Times New Roman"/>
          <w:sz w:val="24"/>
          <w:szCs w:val="24"/>
          <w:rtl/>
        </w:rPr>
        <w:t xml:space="preserve"> ההבחנה הזו תשמש בהמשך כדי לזהות אילו רכיבים בתוכניות של אמו"ן עלולים ליצור קושי.</w:t>
      </w:r>
    </w:p>
    <w:p>
      <w:pPr>
        <w:pStyle w:val="Heading2"/>
        <w:bidi/>
        <w:spacing w:after="160" w:before="240"/>
        <w:jc w:val="right"/>
      </w:pPr>
      <w:r>
        <w:rPr>
          <w:rFonts w:ascii="Times New Roman" w:cs="David" w:eastAsia="David" w:hAnsi="Times New Roman"/>
          <w:b/>
          <w:bCs/>
          <w:sz w:val="28"/>
          <w:szCs w:val="28"/>
          <w:rtl/>
        </w:rPr>
        <w:t xml:space="preserve">2.4 סמכות, שיקול דעת, שוויון ומידתיות באכיפה</w:t>
      </w:r>
    </w:p>
    <w:p>
      <w:pPr>
        <w:bidi/>
        <w:spacing w:after="120" w:line="360"/>
        <w:ind w:firstLine="0"/>
        <w:jc w:val="both"/>
      </w:pPr>
      <w:r>
        <w:rPr>
          <w:rFonts w:ascii="Times New Roman" w:cs="David" w:eastAsia="David" w:hAnsi="Times New Roman"/>
          <w:sz w:val="24"/>
          <w:szCs w:val="24"/>
          <w:rtl/>
        </w:rPr>
        <w:t xml:space="preserve">כל אסטרטגיית שיטור כפופה לתנאי בסיסי: הסמכה בחוק. בעניין </w:t>
      </w:r>
      <w:r>
        <w:rPr>
          <w:rFonts w:ascii="Times New Roman" w:cs="David" w:eastAsia="David" w:hAnsi="Times New Roman"/>
          <w:b/>
          <w:bCs/>
          <w:sz w:val="24"/>
          <w:szCs w:val="24"/>
          <w:rtl/>
        </w:rPr>
        <w:t xml:space="preserve">מוסא</w:t>
      </w:r>
      <w:r>
        <w:rPr>
          <w:rFonts w:ascii="Times New Roman" w:cs="David" w:eastAsia="David" w:hAnsi="Times New Roman"/>
          <w:sz w:val="24"/>
          <w:szCs w:val="24"/>
          <w:rtl/>
        </w:rPr>
        <w:t xml:space="preserve"> נקבע ש"אין למשטרה כוחות, אלא עד כמה שאלה הוענקו לה בחוק. החוק הוא הנותן את הכוח, ולא הכוח הוא הקובע את החוק".</w:t>
      </w:r>
      <w:r>
        <w:rPr>
          <w:rStyle w:val="FootnoteReference"/>
        </w:rPr>
        <w:footnoteReference w:id="40"/>
      </w:r>
      <w:r>
        <w:rPr>
          <w:rFonts w:ascii="Times New Roman" w:cs="David" w:eastAsia="David" w:hAnsi="Times New Roman"/>
          <w:sz w:val="24"/>
          <w:szCs w:val="24"/>
          <w:rtl/>
        </w:rPr>
        <w:t xml:space="preserve">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נדונה השאלה אם שוטר רשאי לדרוש מעובר אורח להזדהות ולבצע כלפיו פעולות נוספות בלי חשד סביר. חוק החזקת תעודת זהות והצגתה מחייב כל תושב מגיל 16 להציג תעודה מזהה לבעלי התפקידים המנויים בו.</w:t>
      </w:r>
      <w:r>
        <w:rPr>
          <w:rStyle w:val="FootnoteReference"/>
        </w:rPr>
        <w:footnoteReference w:id="41"/>
      </w:r>
      <w:r>
        <w:rPr>
          <w:rFonts w:ascii="Times New Roman" w:cs="David" w:eastAsia="David" w:hAnsi="Times New Roman"/>
          <w:sz w:val="24"/>
          <w:szCs w:val="24"/>
          <w:rtl/>
        </w:rPr>
        <w:t xml:space="preserve"> לפי דעת הרוב, דרישת ההזדהות אינה מותנית בחשד סביר, אך היא מחייבת זיקה עניינית לפרטים שבתעודה.</w:t>
      </w:r>
      <w:r>
        <w:rPr>
          <w:rStyle w:val="FootnoteReference"/>
        </w:rPr>
        <w:footnoteReference w:id="42"/>
      </w:r>
      <w:r>
        <w:rPr>
          <w:rFonts w:ascii="Times New Roman" w:cs="David" w:eastAsia="David" w:hAnsi="Times New Roman"/>
          <w:sz w:val="24"/>
          <w:szCs w:val="24"/>
          <w:rtl/>
        </w:rPr>
        <w:t xml:space="preserve"> עוד נקבע שסמכות ההזדהות אינה מתירה פעולות שיטור נוספות בלי חשד סביר, ואינה מצדיקה "מסע דיג" כלפי אדם שהתנהגותו אינה מעוררת חשד.</w:t>
      </w:r>
      <w:r>
        <w:rPr>
          <w:rStyle w:val="FootnoteReference"/>
        </w:rPr>
        <w:footnoteReference w:id="43"/>
      </w:r>
      <w:r>
        <w:rPr>
          <w:rFonts w:ascii="Times New Roman" w:cs="David" w:eastAsia="David" w:hAnsi="Times New Roman"/>
          <w:sz w:val="24"/>
          <w:szCs w:val="24"/>
          <w:rtl/>
        </w:rPr>
        <w:t xml:space="preserve"> כאן עובר הגבול בין נוכחות משטרתית מוגברת לבין הפעלת סמכות כלפי אדם מסוים.</w:t>
      </w:r>
    </w:p>
    <w:p>
      <w:pPr>
        <w:bidi/>
        <w:spacing w:after="120" w:line="360"/>
        <w:ind w:firstLine="0"/>
        <w:jc w:val="both"/>
      </w:pPr>
      <w:r>
        <w:rPr>
          <w:rFonts w:ascii="Times New Roman" w:cs="David" w:eastAsia="David" w:hAnsi="Times New Roman"/>
          <w:sz w:val="24"/>
          <w:szCs w:val="24"/>
          <w:rtl/>
        </w:rPr>
        <w:t xml:space="preserve">לשני היבטים נוספים בפסק הדין יש חשיבות לעבודה זו. הראשון הוא הקשר בין עמימות נורמטיבית לבין אפליה בפועל. בית המשפט ציין שהמשטרה הפעילה את הסמכות במשך שנים בלי אמות מידה ברורות וגלויות, ושממצאי ועדת פלמור הצביעו על שימוש סלקטיבי בה, שהוביל להפליה של מיעוטים מסוימים גם בלי כוונה לכך. השני נוגע ליחס בין הבניית שיקול הדעת לבין יעילות: לפי חוות דעת מומחה שהוגשה בתיק, במקומות שבהם נקבעו נהלים מפורטים ותבחינים ברורים להפעלת סמכויות שיטור, השתפרה היעילות של המשטרה ופחת השימוש בסטריאוטיפים.</w:t>
      </w:r>
      <w:r>
        <w:rPr>
          <w:rStyle w:val="FootnoteReference"/>
        </w:rPr>
        <w:footnoteReference w:id="44"/>
      </w:r>
      <w:r>
        <w:rPr>
          <w:rFonts w:ascii="Times New Roman" w:cs="David" w:eastAsia="David" w:hAnsi="Times New Roman"/>
          <w:sz w:val="24"/>
          <w:szCs w:val="24"/>
          <w:rtl/>
        </w:rPr>
        <w:t xml:space="preserve"> הוגנות ואפקטיביות אינן בהכרח במתח.</w:t>
      </w:r>
    </w:p>
    <w:p>
      <w:pPr>
        <w:bidi/>
        <w:spacing w:after="120" w:line="360"/>
        <w:ind w:firstLine="0"/>
        <w:jc w:val="both"/>
      </w:pPr>
      <w:r>
        <w:rPr>
          <w:rFonts w:ascii="Times New Roman" w:cs="David" w:eastAsia="David" w:hAnsi="Times New Roman"/>
          <w:sz w:val="24"/>
          <w:szCs w:val="24"/>
          <w:rtl/>
        </w:rPr>
        <w:t xml:space="preserve">פקודת המשטרה מגדירה את תפקידי המשטרה, ובהם מניעת עבירות וגילוין ושמירה על הסדר הציבורי.</w:t>
      </w:r>
      <w:r>
        <w:rPr>
          <w:rStyle w:val="FootnoteReference"/>
        </w:rPr>
        <w:footnoteReference w:id="45"/>
      </w:r>
      <w:r>
        <w:rPr>
          <w:rFonts w:ascii="Times New Roman" w:cs="David" w:eastAsia="David" w:hAnsi="Times New Roman"/>
          <w:sz w:val="24"/>
          <w:szCs w:val="24"/>
          <w:rtl/>
        </w:rPr>
        <w:t xml:space="preserve"> אולם תיאור של תפקידים אינו מקור סמכות לפגיעה בזכויות, ובעניין </w:t>
      </w:r>
      <w:r>
        <w:rPr>
          <w:rFonts w:ascii="Times New Roman" w:cs="David" w:eastAsia="David" w:hAnsi="Times New Roman"/>
          <w:b/>
          <w:bCs/>
          <w:sz w:val="24"/>
          <w:szCs w:val="24"/>
          <w:rtl/>
        </w:rPr>
        <w:t xml:space="preserve">ג'בארין</w:t>
      </w:r>
      <w:r>
        <w:rPr>
          <w:rFonts w:ascii="Times New Roman" w:cs="David" w:eastAsia="David" w:hAnsi="Times New Roman"/>
          <w:sz w:val="24"/>
          <w:szCs w:val="24"/>
          <w:rtl/>
        </w:rPr>
        <w:t xml:space="preserve"> נקבע שהפניה כללית לתפקידי המשטרה אינה מספיקה כדי להצדיק פגיעה כזו.</w:t>
      </w:r>
      <w:r>
        <w:rPr>
          <w:rStyle w:val="FootnoteReference"/>
        </w:rPr>
        <w:footnoteReference w:id="46"/>
      </w:r>
      <w:r>
        <w:rPr>
          <w:rFonts w:ascii="Times New Roman" w:cs="David" w:eastAsia="David" w:hAnsi="Times New Roman"/>
          <w:sz w:val="24"/>
          <w:szCs w:val="24"/>
          <w:rtl/>
        </w:rPr>
        <w:t xml:space="preserve"> השופט שטיין, בדעת מיעוט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ניסח את העיקרון כך: "עולמן של סמכויות השררה הוא עולם של מילים מפורשות".</w:t>
      </w:r>
      <w:r>
        <w:rPr>
          <w:rStyle w:val="FootnoteReference"/>
        </w:rPr>
        <w:footnoteReference w:id="47"/>
      </w:r>
      <w:r>
        <w:rPr>
          <w:rFonts w:ascii="Times New Roman" w:cs="David" w:eastAsia="David" w:hAnsi="Times New Roman"/>
          <w:sz w:val="24"/>
          <w:szCs w:val="24"/>
          <w:rtl/>
        </w:rPr>
        <w:t xml:space="preserve"> דעת הרוב הכירה בסמכות מוגבלת מכוח חוק החזקת תעודת זהות, ולכן יש להבחין בין העמדות. לענייננו, המסקנה משותפת: יעדים ארגוניים, מדדי ביצוע ותוכניות פעולה אינם מקור סמכות. תוכנית שמורה על נוכחות מוגברת באזור מסוים פועלת בתוך הסמכויות שהחוק נותן לשוטר, ואינה מרחיבה אותן.</w:t>
      </w:r>
    </w:p>
    <w:p>
      <w:pPr>
        <w:bidi/>
        <w:spacing w:after="120" w:line="360"/>
        <w:ind w:firstLine="0"/>
        <w:jc w:val="both"/>
      </w:pPr>
      <w:r>
        <w:rPr>
          <w:rFonts w:ascii="Times New Roman" w:cs="David" w:eastAsia="David" w:hAnsi="Times New Roman"/>
          <w:sz w:val="24"/>
          <w:szCs w:val="24"/>
          <w:rtl/>
        </w:rPr>
        <w:t xml:space="preserve">הסמכויות שרלוונטיות לשיטור יזום מוסדרות בעיקר בחוק סדר הדין הפלילי (סמכויות אכיפה – מעצרים), שבו נקבעו התנאים לעיכוב אדם ומשך העיכוב.</w:t>
      </w:r>
      <w:r>
        <w:rPr>
          <w:rStyle w:val="FootnoteReference"/>
        </w:rPr>
        <w:footnoteReference w:id="48"/>
      </w:r>
      <w:r>
        <w:rPr>
          <w:rFonts w:ascii="Times New Roman" w:cs="David" w:eastAsia="David" w:hAnsi="Times New Roman"/>
          <w:sz w:val="24"/>
          <w:szCs w:val="24"/>
          <w:rtl/>
        </w:rPr>
        <w:t xml:space="preserve"> החוק משקף איזון שערך המחוקק בין ביטחון הציבור לבין זכויות הפרט, ולכן פרשנות שמרחיבה את הסמכויות שבו מחייבת זהירות מיוחדת.</w:t>
      </w:r>
      <w:r>
        <w:rPr>
          <w:rStyle w:val="FootnoteReference"/>
        </w:rPr>
        <w:footnoteReference w:id="49"/>
      </w:r>
      <w:r>
        <w:rPr>
          <w:rFonts w:ascii="Times New Roman" w:cs="David" w:eastAsia="David" w:hAnsi="Times New Roman"/>
          <w:sz w:val="24"/>
          <w:szCs w:val="24"/>
          <w:rtl/>
        </w:rPr>
        <w:t xml:space="preserve"> תנאי העיכוב ומשכו אינם פרטים טכניים. הם הדרך שבה המחוקק עצמו הבנה את שיקול הדעת. רפורמה שמגדילה את מספר המפגשים בין שוטרים לאזרחים באזור מסוים מגדילה גם את מספר הפעמים שבהן הגבול הזה נבחן, ולכן היא צריכה ליווי משפטי ולא רק ליווי מבצעי.</w:t>
      </w:r>
    </w:p>
    <w:p>
      <w:pPr>
        <w:bidi/>
        <w:spacing w:after="120" w:line="360"/>
        <w:ind w:firstLine="0"/>
        <w:jc w:val="both"/>
      </w:pPr>
      <w:r>
        <w:rPr>
          <w:rFonts w:ascii="Times New Roman" w:cs="David" w:eastAsia="David" w:hAnsi="Times New Roman"/>
          <w:sz w:val="24"/>
          <w:szCs w:val="24"/>
          <w:rtl/>
        </w:rPr>
        <w:t xml:space="preserve">חיפוש ללא צו מותנה בחשד סביר, והמבחן לחשד סביר הוא אובייקטיבי. הוא בודק אם שיקול הדעת של השוטר היה סביר בנסיבות, ואינו רשימה סגורה של תנאים שאפשר לסמן.</w:t>
      </w:r>
      <w:r>
        <w:rPr>
          <w:rStyle w:val="FootnoteReference"/>
        </w:rPr>
        <w:footnoteReference w:id="50"/>
      </w:r>
      <w:r>
        <w:rPr>
          <w:rFonts w:ascii="Times New Roman" w:cs="David" w:eastAsia="David" w:hAnsi="Times New Roman"/>
          <w:sz w:val="24"/>
          <w:szCs w:val="24"/>
          <w:rtl/>
        </w:rPr>
        <w:t xml:space="preserve"> ההחלטה תלויה בנסיבות המפגש, במידע שהיה בידי השוטר ובניסיונו. לכן אי אפשר לבסס את הסמכות על תחושה כללית או על השתייכות לקבוצה. בעניין </w:t>
      </w:r>
      <w:r>
        <w:rPr>
          <w:rFonts w:ascii="Times New Roman" w:cs="David" w:eastAsia="David" w:hAnsi="Times New Roman"/>
          <w:b/>
          <w:bCs/>
          <w:sz w:val="24"/>
          <w:szCs w:val="24"/>
          <w:rtl/>
        </w:rPr>
        <w:t xml:space="preserve">קסאי</w:t>
      </w:r>
      <w:r>
        <w:rPr>
          <w:rFonts w:ascii="Times New Roman" w:cs="David" w:eastAsia="David" w:hAnsi="Times New Roman"/>
          <w:sz w:val="24"/>
          <w:szCs w:val="24"/>
          <w:rtl/>
        </w:rPr>
        <w:t xml:space="preserve"> נקבע שתיאור חיצוני כללי, שעשוי להתאים לאנשים רבים, אינו מקים סמכות עיכוב.</w:t>
      </w:r>
      <w:r>
        <w:rPr>
          <w:rStyle w:val="FootnoteReference"/>
        </w:rPr>
        <w:footnoteReference w:id="51"/>
      </w:r>
      <w:r>
        <w:rPr>
          <w:rFonts w:ascii="Times New Roman" w:cs="David" w:eastAsia="David" w:hAnsi="Times New Roman"/>
          <w:sz w:val="24"/>
          <w:szCs w:val="24"/>
          <w:rtl/>
        </w:rPr>
        <w:t xml:space="preserve"> ובעניין </w:t>
      </w:r>
      <w:r>
        <w:rPr>
          <w:rFonts w:ascii="Times New Roman" w:cs="David" w:eastAsia="David" w:hAnsi="Times New Roman"/>
          <w:b/>
          <w:bCs/>
          <w:sz w:val="24"/>
          <w:szCs w:val="24"/>
          <w:rtl/>
        </w:rPr>
        <w:t xml:space="preserve">זייצב</w:t>
      </w:r>
      <w:r>
        <w:rPr>
          <w:rFonts w:ascii="Times New Roman" w:cs="David" w:eastAsia="David" w:hAnsi="Times New Roman"/>
          <w:sz w:val="24"/>
          <w:szCs w:val="24"/>
          <w:rtl/>
        </w:rPr>
        <w:t xml:space="preserve"> הדגיש השופט אלרון שחיפוש ללא חשד פרטני מחייב הסמכה מפורשת, ושדרישה כזו "עשויה להגביר את הפיקוח על החלטות הרשות, לצמצם את החשש לפגיעה לא מידתית בזכויות, ולהבטיח כי יתקיים דיון ציבורי".</w:t>
      </w:r>
      <w:r>
        <w:rPr>
          <w:rStyle w:val="FootnoteReference"/>
        </w:rPr>
        <w:footnoteReference w:id="52"/>
      </w:r>
      <w:r>
        <w:rPr>
          <w:rFonts w:ascii="Times New Roman" w:cs="David" w:eastAsia="David" w:hAnsi="Times New Roman"/>
          <w:sz w:val="24"/>
          <w:szCs w:val="24"/>
          <w:rtl/>
        </w:rPr>
        <w:t xml:space="preserve"> בשיטור יזום, הדרישה הזו מחייבת להבחין בין עצם הנוכחות באזור שהוגדר כמוקד פשיעה לבין בסיס פרטני להפעלת סמכות כלפי אדם מסוים.</w:t>
      </w:r>
    </w:p>
    <w:p>
      <w:pPr>
        <w:bidi/>
        <w:spacing w:after="120" w:line="360"/>
        <w:ind w:firstLine="0"/>
        <w:jc w:val="both"/>
      </w:pPr>
      <w:r>
        <w:rPr>
          <w:rFonts w:ascii="Times New Roman" w:cs="David" w:eastAsia="David" w:hAnsi="Times New Roman"/>
          <w:sz w:val="24"/>
          <w:szCs w:val="24"/>
          <w:rtl/>
        </w:rPr>
        <w:t xml:space="preserve">גם בחירת היעדים עצמה כפופה לדיני השוויון. בעניין </w:t>
      </w:r>
      <w:r>
        <w:rPr>
          <w:rFonts w:ascii="Times New Roman" w:cs="David" w:eastAsia="David" w:hAnsi="Times New Roman"/>
          <w:b/>
          <w:bCs/>
          <w:sz w:val="24"/>
          <w:szCs w:val="24"/>
          <w:rtl/>
        </w:rPr>
        <w:t xml:space="preserve">זקין</w:t>
      </w:r>
      <w:r>
        <w:rPr>
          <w:rFonts w:ascii="Times New Roman" w:cs="David" w:eastAsia="David" w:hAnsi="Times New Roman"/>
          <w:sz w:val="24"/>
          <w:szCs w:val="24"/>
          <w:rtl/>
        </w:rPr>
        <w:t xml:space="preserve"> הבחין בית המשפט בין אכיפה חלקית, שנובעת ממגבלת משאבים ומותרת, לבין אכיפה בררנית, שמבוססת על שיקול זר, על מטרה פסולה או על שרירות.</w:t>
      </w:r>
      <w:r>
        <w:rPr>
          <w:rStyle w:val="FootnoteReference"/>
        </w:rPr>
        <w:footnoteReference w:id="53"/>
      </w:r>
      <w:r>
        <w:rPr>
          <w:rFonts w:ascii="Times New Roman" w:cs="David" w:eastAsia="David" w:hAnsi="Times New Roman"/>
          <w:sz w:val="24"/>
          <w:szCs w:val="24"/>
          <w:rtl/>
        </w:rPr>
        <w:t xml:space="preserve"> תחנה שמתמקדת בשלוש בעיות מבצעת בהכרח אכיפה חלקית. השאלה היא אם אמות המידה לבחירת הבעיות, האזורים והאנשים גלויות ומנומקות, כך שאפשר יהיה להבחין בינה לבין אכיפה בררנית.</w:t>
      </w:r>
    </w:p>
    <w:p>
      <w:pPr>
        <w:bidi/>
        <w:spacing w:after="120" w:line="360"/>
        <w:ind w:firstLine="0"/>
        <w:jc w:val="both"/>
      </w:pPr>
      <w:r>
        <w:rPr>
          <w:rFonts w:ascii="Times New Roman" w:cs="David" w:eastAsia="David" w:hAnsi="Times New Roman"/>
          <w:sz w:val="24"/>
          <w:szCs w:val="24"/>
          <w:rtl/>
        </w:rPr>
        <w:t xml:space="preserve">המסקנה הכללית היא ששיקול הדעת המשטרתי אינו יכול להיעלם, והוא חלק הכרחי מעבודת השוטר. השאלה היא באילו תנאים הוא מופעל, לפי אילו תבחינים, איך הוא מתועד ומי מפקח עליו. יונתן-זמיר ופרי מציינים שדוח האקדמיות הלאומיות בחן את השיטור היזום בארבעה תחומים: חוקיות, פשיעה ואי-סדר, תגובות הקהילה והטיה גזעית.</w:t>
      </w:r>
      <w:r>
        <w:rPr>
          <w:rStyle w:val="FootnoteReference"/>
        </w:rPr>
        <w:footnoteReference w:id="54"/>
      </w:r>
      <w:r>
        <w:rPr>
          <w:rFonts w:ascii="Times New Roman" w:cs="David" w:eastAsia="David" w:hAnsi="Times New Roman"/>
          <w:sz w:val="24"/>
          <w:szCs w:val="24"/>
          <w:rtl/>
        </w:rPr>
        <w:t xml:space="preserve"> ארבעת התחומים האלה מקבילים לארבעת הממדים שהוצגו לעיל.</w:t>
      </w:r>
    </w:p>
    <w:p>
      <w:pPr>
        <w:bidi/>
        <w:spacing w:after="120" w:line="360"/>
        <w:ind w:firstLine="0"/>
        <w:jc w:val="both"/>
      </w:pPr>
      <w:r>
        <w:rPr>
          <w:rFonts w:ascii="Times New Roman" w:cs="David" w:eastAsia="David" w:hAnsi="Times New Roman"/>
          <w:sz w:val="24"/>
          <w:szCs w:val="24"/>
          <w:rtl/>
        </w:rPr>
        <w:t xml:space="preserve">דרישת המידתיות פועלת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האיזון שערך המחוקק בין ביטחון לבין זכויות צריך להיבחן כבר בשלב תכנון הפעילות, ולא רק בבית המשפט ובדיעבד.</w:t>
      </w:r>
    </w:p>
    <w:p>
      <w:pPr>
        <w:pStyle w:val="Heading1"/>
        <w:pageBreakBefore/>
        <w:bidi/>
        <w:spacing w:after="160" w:before="240"/>
        <w:jc w:val="center"/>
      </w:pPr>
      <w:r>
        <w:rPr>
          <w:rFonts w:ascii="Times New Roman" w:cs="David" w:eastAsia="David" w:hAnsi="Times New Roman"/>
          <w:b/>
          <w:bCs/>
          <w:sz w:val="32"/>
          <w:szCs w:val="32"/>
          <w:rtl/>
        </w:rPr>
        <w:t xml:space="preserve">3. רפורמת אמו"ן: הרציונל, המבנה ומנגנוני הפעולה</w:t>
      </w:r>
    </w:p>
    <w:p>
      <w:pPr>
        <w:pStyle w:val="Heading2"/>
        <w:bidi/>
        <w:spacing w:after="160" w:before="240"/>
        <w:jc w:val="right"/>
      </w:pPr>
      <w:r>
        <w:rPr>
          <w:rFonts w:ascii="Times New Roman" w:cs="David" w:eastAsia="David" w:hAnsi="Times New Roman"/>
          <w:b/>
          <w:bCs/>
          <w:sz w:val="28"/>
          <w:szCs w:val="28"/>
          <w:rtl/>
        </w:rPr>
        <w:t xml:space="preserve">3.1 הרקע להקמת הרפורמה ומטרותיה</w:t>
      </w:r>
    </w:p>
    <w:p>
      <w:pPr>
        <w:bidi/>
        <w:spacing w:after="120" w:line="360"/>
        <w:ind w:firstLine="0"/>
        <w:jc w:val="both"/>
      </w:pPr>
      <w:r>
        <w:rPr>
          <w:rFonts w:ascii="Times New Roman" w:cs="David" w:eastAsia="David" w:hAnsi="Times New Roman"/>
          <w:sz w:val="24"/>
          <w:szCs w:val="24"/>
          <w:rtl/>
        </w:rPr>
        <w:t xml:space="preserve">אמו"ן הושקה בסוף שנת 2015 ביוזמת המפכ"ל דאז, ושולבה בתוכניות העבודה של המשטרה כבר בשנת 2016. מסמכי המשטרה מציגים את הרעיון שעומד ביסודה כמיקוד הארגון במתן שירות ל"אזרח הנורמטיבי". לפי אותם מסמכים, משטרה בחברה דמוקרטית אינה יכולה לפעול בלי אמון הציבור, ושחיקה באמון הזה היא איום אסטרטגי על חוסן החברה.</w:t>
      </w:r>
      <w:r>
        <w:rPr>
          <w:rStyle w:val="FootnoteReference"/>
        </w:rPr>
        <w:footnoteReference w:id="55"/>
      </w:r>
      <w:r>
        <w:rPr>
          <w:rFonts w:ascii="Times New Roman" w:cs="David" w:eastAsia="David" w:hAnsi="Times New Roman"/>
          <w:sz w:val="24"/>
          <w:szCs w:val="24"/>
          <w:rtl/>
        </w:rPr>
        <w:t xml:space="preserve"> הנקודה חשובה לענייננו: האמון הוגדר כאחת ממטרות הרפורמה, ולא כתוצר לוואי שלה. הרפורמה יצאה מן ההנחה שהבעיה אינה רק היקף הפשיעה, אלא גם מערכת היחסים בין המשטרה לבין הציבור שהיא משרתת.</w:t>
      </w:r>
    </w:p>
    <w:p>
      <w:pPr>
        <w:bidi/>
        <w:spacing w:after="120" w:line="360"/>
        <w:ind w:firstLine="0"/>
        <w:jc w:val="both"/>
      </w:pPr>
      <w:r>
        <w:rPr>
          <w:rFonts w:ascii="Times New Roman" w:cs="David" w:eastAsia="David" w:hAnsi="Times New Roman"/>
          <w:sz w:val="24"/>
          <w:szCs w:val="24"/>
          <w:rtl/>
        </w:rPr>
        <w:t xml:space="preserve">מסמכי היסוד של הרפורמה מתארים שלושה כיווני פעולה במשטרה: השיטור הקלאסי, המבוסס על עבודת התחנה המקומית; השיטור הגבוה, המכוון על ידי מודיעין ויעדים; והשיטור החכם, המבוסס על טכנולוגיה.</w:t>
      </w:r>
      <w:r>
        <w:rPr>
          <w:rStyle w:val="FootnoteReference"/>
        </w:rPr>
        <w:footnoteReference w:id="56"/>
      </w:r>
      <w:r>
        <w:rPr>
          <w:rFonts w:ascii="Times New Roman" w:cs="David" w:eastAsia="David" w:hAnsi="Times New Roman"/>
          <w:sz w:val="24"/>
          <w:szCs w:val="24"/>
          <w:rtl/>
        </w:rPr>
        <w:t xml:space="preserve"> אמו"ן שייכת לכיוון הראשון. המשמעות היא שהרפורמה אינה מתיימרת לטפל בכל סוגי הפשיעה, אלא בשכבה המקומית, שבה התחנה פוגשת את תושבי הגזרה שלה. החלוקה הזו אינה שוללת חפיפה בין התחנה לבין יחידות אחרות, אך היא מעוררת שאלה על גבולות המענה המקומי. השאלה תהיה חשובה במיוחד כשתיבחן יכולתה של הרפורמה להתמודד עם עבירות ירי, שמקורותיהן חורגים מגבולות הגזרה.</w:t>
      </w:r>
    </w:p>
    <w:p>
      <w:pPr>
        <w:bidi/>
        <w:spacing w:after="120" w:line="360"/>
        <w:ind w:firstLine="0"/>
        <w:jc w:val="both"/>
      </w:pPr>
      <w:r>
        <w:rPr>
          <w:rFonts w:ascii="Times New Roman" w:cs="David" w:eastAsia="David" w:hAnsi="Times New Roman"/>
          <w:sz w:val="24"/>
          <w:szCs w:val="24"/>
          <w:rtl/>
        </w:rPr>
        <w:t xml:space="preserve">מבחינה תיאורטית, התוכנית משלבת ארבע גישות שנמצאו אפקטיביות במחקרים אמפיריים: שיטור מוכוון בעיות, שיטור ממוקד מקום, מניעת פשיעה מצבית ושיטור קהילתי.</w:t>
      </w:r>
      <w:r>
        <w:rPr>
          <w:rStyle w:val="FootnoteReference"/>
        </w:rPr>
        <w:footnoteReference w:id="57"/>
      </w:r>
      <w:r>
        <w:rPr>
          <w:rFonts w:ascii="Times New Roman" w:cs="David" w:eastAsia="David" w:hAnsi="Times New Roman"/>
          <w:sz w:val="24"/>
          <w:szCs w:val="24"/>
          <w:rtl/>
        </w:rPr>
        <w:t xml:space="preserve"> הייחוד שלה אינו באימוץ הגישות האלה, אלא בניסיון למסד אותן. במשטרות אחרות בעולם כמעט לא מוסדו עקרונות השיטור המוכוון בעיות, והגישה שימשה בעיקר כתגובה לבעיה ספציפית ולא כשינוי ארגוני.</w:t>
      </w:r>
      <w:r>
        <w:rPr>
          <w:rStyle w:val="FootnoteReference"/>
        </w:rPr>
        <w:footnoteReference w:id="58"/>
      </w:r>
      <w:r>
        <w:rPr>
          <w:rFonts w:ascii="Times New Roman" w:cs="David" w:eastAsia="David" w:hAnsi="Times New Roman"/>
          <w:sz w:val="24"/>
          <w:szCs w:val="24"/>
          <w:rtl/>
        </w:rPr>
        <w:t xml:space="preserve"> אמו"ן ניסתה לשנות זאת באמצעות מערכת מדידה ממוחשבת, שליוותה את ארבעת שלבי המודל והפכה אותם לחלק משגרת העבודה.</w:t>
      </w:r>
    </w:p>
    <w:p>
      <w:pPr>
        <w:bidi/>
        <w:spacing w:after="120" w:line="360"/>
        <w:ind w:firstLine="0"/>
        <w:jc w:val="both"/>
      </w:pPr>
      <w:r>
        <w:rPr>
          <w:rFonts w:ascii="Times New Roman" w:cs="David" w:eastAsia="David" w:hAnsi="Times New Roman"/>
          <w:sz w:val="24"/>
          <w:szCs w:val="24"/>
          <w:rtl/>
        </w:rPr>
        <w:t xml:space="preserve">מסמכי המשטרה הציגו את הרפורמה כהמשך טבעי להתפתחות השיטור הקלאסי במשטרות מתקדמות, ולא כמודל זר שיובא לסביבה שאינה מתאימה לו.</w:t>
      </w:r>
      <w:r>
        <w:rPr>
          <w:rStyle w:val="FootnoteReference"/>
        </w:rPr>
        <w:footnoteReference w:id="59"/>
      </w:r>
      <w:r>
        <w:rPr>
          <w:rFonts w:ascii="Times New Roman" w:cs="David" w:eastAsia="David" w:hAnsi="Times New Roman"/>
          <w:sz w:val="24"/>
          <w:szCs w:val="24"/>
          <w:rtl/>
        </w:rPr>
        <w:t xml:space="preserve"> להצגה הזו יש מטרה ארגונית ברורה, אך יש לה גם מחיר: אם הרפורמה נשענת על בסיס מחקרי, יש לבחון אותה לפי אותם קריטריונים שלפיהם נבחנו התוכניות שעליהן היא מתבססת. זה הבסיס לשאלה שתידון בפרק 7. יישום חלקי אינו מספיק כדי לשלול את המודל, אבל הוא עשוי ללמד גם על קושי בהתאמתו לשגרת העבודה.</w:t>
      </w:r>
    </w:p>
    <w:p>
      <w:pPr>
        <w:bidi/>
        <w:spacing w:after="120" w:line="360"/>
        <w:ind w:firstLine="0"/>
        <w:jc w:val="both"/>
      </w:pPr>
      <w:r>
        <w:rPr>
          <w:rFonts w:ascii="Times New Roman" w:cs="David" w:eastAsia="David" w:hAnsi="Times New Roman"/>
          <w:sz w:val="24"/>
          <w:szCs w:val="24"/>
          <w:rtl/>
        </w:rPr>
        <w:t xml:space="preserve">ראוי להתעכב על המונח "האזרח הנורמטיבי". המונח מתאר את קהל היעד של הרפורמה כמי שאינו מעורב בפשיעה, ומדגיש את השירות שהמשטרה חייבת לו.</w:t>
      </w:r>
      <w:r>
        <w:rPr>
          <w:rStyle w:val="FootnoteReference"/>
        </w:rPr>
        <w:footnoteReference w:id="60"/>
      </w:r>
      <w:r>
        <w:rPr>
          <w:rFonts w:ascii="Times New Roman" w:cs="David" w:eastAsia="David" w:hAnsi="Times New Roman"/>
          <w:sz w:val="24"/>
          <w:szCs w:val="24"/>
          <w:rtl/>
        </w:rPr>
        <w:t xml:space="preserve"> ההגדרה נשמעת מובנת מאליה, אך יש לה השלכה פחות גלויה. כאשר קהילה שלמה נתפסת כמקום שבו הפשיעה נפוצה, קל יותר לטשטש בשטח את ההבחנה בין האזרח הנורמטיבי לבין הסביבה שבה הוא חי. הרפורמה אינה יוצרת את הסיכון הזה, אבל במסמכים שנבחנו לא נמצא מנגנון ייעודי שנועד לשמור על ההבחנה במפגש הפרטני בין שוטר לאזרח.</w:t>
      </w:r>
    </w:p>
    <w:p>
      <w:pPr>
        <w:pStyle w:val="Heading2"/>
        <w:bidi/>
        <w:spacing w:after="160" w:before="240"/>
        <w:jc w:val="right"/>
      </w:pPr>
      <w:r>
        <w:rPr>
          <w:rFonts w:ascii="Times New Roman" w:cs="David" w:eastAsia="David" w:hAnsi="Times New Roman"/>
          <w:b/>
          <w:bCs/>
          <w:sz w:val="28"/>
          <w:szCs w:val="28"/>
          <w:rtl/>
        </w:rPr>
        <w:t xml:space="preserve">3.2 איתור הבעיות, הסריקה והניתוח</w:t>
      </w:r>
    </w:p>
    <w:p>
      <w:pPr>
        <w:bidi/>
        <w:spacing w:after="120" w:line="360"/>
        <w:ind w:firstLine="0"/>
        <w:jc w:val="both"/>
      </w:pPr>
      <w:r>
        <w:rPr>
          <w:rFonts w:ascii="Times New Roman" w:cs="David" w:eastAsia="David" w:hAnsi="Times New Roman"/>
          <w:sz w:val="24"/>
          <w:szCs w:val="24"/>
          <w:rtl/>
        </w:rPr>
        <w:t xml:space="preserve">כל תחנה נדרשת לזהות שלוש בעיות מרכזיות ולהקצות להן את עיקר משאביה. "בעיה" מוגדרת כתופעה משמעותית של פשיעה או של הפרת סדר בגזרת התחנה.</w:t>
      </w:r>
      <w:r>
        <w:rPr>
          <w:rStyle w:val="FootnoteReference"/>
        </w:rPr>
        <w:footnoteReference w:id="61"/>
      </w:r>
      <w:r>
        <w:rPr>
          <w:rFonts w:ascii="Times New Roman" w:cs="David" w:eastAsia="David" w:hAnsi="Times New Roman"/>
          <w:sz w:val="24"/>
          <w:szCs w:val="24"/>
          <w:rtl/>
        </w:rPr>
        <w:t xml:space="preserve"> הדרישה מחייבת את מפקד התחנה לקבוע סדר עדיפויות. אין פירוש הדבר שהמשטרה מפסיקה לטפל בעבירות אחרות, אלא שרק חלק מן התופעות יקבלו טיפול ממוקד במסגרת התוכנית, לצד הטיפול השוטף.</w:t>
      </w:r>
    </w:p>
    <w:p>
      <w:pPr>
        <w:bidi/>
        <w:spacing w:after="120" w:line="360"/>
        <w:ind w:firstLine="0"/>
        <w:jc w:val="both"/>
      </w:pPr>
      <w:r>
        <w:rPr>
          <w:rFonts w:ascii="Times New Roman" w:cs="David" w:eastAsia="David" w:hAnsi="Times New Roman"/>
          <w:sz w:val="24"/>
          <w:szCs w:val="24"/>
          <w:rtl/>
        </w:rPr>
        <w:t xml:space="preserve">בשונה מן העבר, הבעיות נבחרות ברמה המקומית ולא ברמה הארצית או המחוזית. התחנה צריכה להראות בנתונים שהבעיה מרוכזת באזור גיאוגרפי מוגדר, המכונה "פוליגון". תוכנית שלא נשענה על ניתוח כזה לא אושרה. לשם כך פותחה מערכת מדידה שהותקנה בכל מחשבי המשטרה, והייתה פתוחה לכל השוטרים ולא רק לדרג הפיקודי.</w:t>
      </w:r>
      <w:r>
        <w:rPr>
          <w:rStyle w:val="FootnoteReference"/>
        </w:rPr>
        <w:footnoteReference w:id="62"/>
      </w:r>
      <w:r>
        <w:rPr>
          <w:rFonts w:ascii="Times New Roman" w:cs="David" w:eastAsia="David" w:hAnsi="Times New Roman"/>
          <w:sz w:val="24"/>
          <w:szCs w:val="24"/>
          <w:rtl/>
        </w:rPr>
        <w:t xml:space="preserve"> הנגשת הנתונים לשוטר בשטח נועדה לשנות את שפת העבודה היומיומית, ולא רק את מסמכי התכנון.</w:t>
      </w:r>
    </w:p>
    <w:p>
      <w:pPr>
        <w:bidi/>
        <w:spacing w:after="120" w:line="360"/>
        <w:ind w:firstLine="0"/>
        <w:jc w:val="both"/>
      </w:pPr>
      <w:r>
        <w:rPr>
          <w:rFonts w:ascii="Times New Roman" w:cs="David" w:eastAsia="David" w:hAnsi="Times New Roman"/>
          <w:sz w:val="24"/>
          <w:szCs w:val="24"/>
          <w:rtl/>
        </w:rPr>
        <w:t xml:space="preserve">לצד הנתונים, התחנה נדרשה לתקף את הבעיות מול הציבור. לפחות אחת משלוש הבעיות הייתה צריכה לשקף את עמדות התושבים כפי שנמדדו בסקר מקומי, והתחנות התבקשו לקיים שיח עם נבחרי הציבור בגזרתן.</w:t>
      </w:r>
      <w:r>
        <w:rPr>
          <w:rStyle w:val="FootnoteReference"/>
        </w:rPr>
        <w:footnoteReference w:id="63"/>
      </w:r>
      <w:r>
        <w:rPr>
          <w:rFonts w:ascii="Times New Roman" w:cs="David" w:eastAsia="David" w:hAnsi="Times New Roman"/>
          <w:sz w:val="24"/>
          <w:szCs w:val="24"/>
          <w:rtl/>
        </w:rPr>
        <w:t xml:space="preserve"> הרכיב הזה מעגן את סדר העדיפויות המשטרתי גם בסדר העדיפויות של התושבים. כאשר הציבור מצביע על בעיה והמשטרה מחויבת להתייחס אליה, נוצרת מחויבות כלפי הציבור שאינה תלויה רק בשרשרת הפיקוד.</w:t>
      </w:r>
    </w:p>
    <w:p>
      <w:pPr>
        <w:bidi/>
        <w:spacing w:after="120" w:line="360"/>
        <w:ind w:firstLine="0"/>
        <w:jc w:val="both"/>
      </w:pPr>
      <w:r>
        <w:rPr>
          <w:rFonts w:ascii="Times New Roman" w:cs="David" w:eastAsia="David" w:hAnsi="Times New Roman"/>
          <w:sz w:val="24"/>
          <w:szCs w:val="24"/>
          <w:rtl/>
        </w:rPr>
        <w:t xml:space="preserve">שלב הניתוח נועד להבטיח שהבעיה תובן לעומק לפני שייבחר הכלי לטיפול בה. אק וספלמן הדגישו שלב הגישה הוא התמקדות בבעיות מוגדרות היטב ובחינה של מגוון רחב של תגובות, ולא החלה של פתרון קבוע על כל תופעה.</w:t>
      </w:r>
      <w:r>
        <w:rPr>
          <w:rStyle w:val="FootnoteReference"/>
        </w:rPr>
        <w:footnoteReference w:id="64"/>
      </w:r>
      <w:r>
        <w:rPr>
          <w:rFonts w:ascii="Times New Roman" w:cs="David" w:eastAsia="David" w:hAnsi="Times New Roman"/>
          <w:sz w:val="24"/>
          <w:szCs w:val="24"/>
          <w:rtl/>
        </w:rPr>
        <w:t xml:space="preserve"> הדרישה נשמעת פשוטה, אך היא מציבה רף מקצועי גבוה לתחנה שאין בה יכולת ניתוח מסודרת. כפי שיתברר בפרק 5, דווקא בשלב הזה נפערו הפערים הגדולים בין המודל לבין יישומו.</w:t>
      </w:r>
    </w:p>
    <w:p>
      <w:pPr>
        <w:bidi/>
        <w:spacing w:after="120" w:line="360"/>
        <w:ind w:firstLine="0"/>
        <w:jc w:val="both"/>
      </w:pPr>
      <w:r>
        <w:rPr>
          <w:rFonts w:ascii="Times New Roman" w:cs="David" w:eastAsia="David" w:hAnsi="Times New Roman"/>
          <w:sz w:val="24"/>
          <w:szCs w:val="24"/>
          <w:rtl/>
        </w:rPr>
        <w:t xml:space="preserve">הדרישה לבסס בעיה בנתונים תלויה לחלוטין באיכות הנתונים שבידי התחנה. כשהנתונים מלאים ומדויקים, הדרישה יוצרת מיקוד. כשהם חסרים, אותה דרישה יוצרת עיוות, משום שהתחנה צריכה לעמוד ברף מספרי בכלים שאין לה. פרק 5 יראה שזה בדיוק המצב שנוצר בתחנות שמשרתות אוכלוסייה ערבית.</w:t>
      </w:r>
    </w:p>
    <w:p>
      <w:pPr>
        <w:pStyle w:val="Heading2"/>
        <w:bidi/>
        <w:spacing w:after="160" w:before="240"/>
        <w:jc w:val="right"/>
      </w:pPr>
      <w:r>
        <w:rPr>
          <w:rFonts w:ascii="Times New Roman" w:cs="David" w:eastAsia="David" w:hAnsi="Times New Roman"/>
          <w:b/>
          <w:bCs/>
          <w:sz w:val="28"/>
          <w:szCs w:val="28"/>
          <w:rtl/>
        </w:rPr>
        <w:t xml:space="preserve">3.3 תוכניות התקיפה, הקצאת המשאבים ושיתוף הגורמים המקומיים</w:t>
      </w:r>
    </w:p>
    <w:p>
      <w:pPr>
        <w:bidi/>
        <w:spacing w:after="120" w:line="360"/>
        <w:ind w:firstLine="0"/>
        <w:jc w:val="both"/>
      </w:pPr>
      <w:r>
        <w:rPr>
          <w:rFonts w:ascii="Times New Roman" w:cs="David" w:eastAsia="David" w:hAnsi="Times New Roman"/>
          <w:sz w:val="24"/>
          <w:szCs w:val="24"/>
          <w:rtl/>
        </w:rPr>
        <w:t xml:space="preserve">לכל בעיה נדרשה התחנה לבנות "תוכנית תקיפה" לפי שני עקרונות. העיקרון הראשון קבע ששליש מן הפעולות יתבססו על מניעה מצבית, כדי לצמצם את התלות בשיטות שיטור קלאסיות ולעודד תוכניות מניעה מגוונות. העיקרון השני חייב איגום משאבים משלושה מקורות: משאבי התחנה, משאבי המחוז ומשאבים חיצוניים, ובהם הרשות המקומית וגופי ממשלה נוספים.</w:t>
      </w:r>
      <w:r>
        <w:rPr>
          <w:rStyle w:val="FootnoteReference"/>
        </w:rPr>
        <w:footnoteReference w:id="65"/>
      </w:r>
      <w:r>
        <w:rPr>
          <w:rFonts w:ascii="Times New Roman" w:cs="David" w:eastAsia="David" w:hAnsi="Times New Roman"/>
          <w:sz w:val="24"/>
          <w:szCs w:val="24"/>
          <w:rtl/>
        </w:rPr>
        <w:t xml:space="preserve"> העיקרון הראשון משנה את משמעות המושג "פעילות משטרתית": שינוי תאורה, הסדרת מרחב ציבורי או חסימת גישה אינם נספרים כפעולות אכיפה, אבל הם חלק מלב התוכנית.</w:t>
      </w:r>
    </w:p>
    <w:p>
      <w:pPr>
        <w:bidi/>
        <w:spacing w:after="120" w:line="360"/>
        <w:ind w:firstLine="0"/>
        <w:jc w:val="both"/>
      </w:pPr>
      <w:r>
        <w:rPr>
          <w:rFonts w:ascii="Times New Roman" w:cs="David" w:eastAsia="David" w:hAnsi="Times New Roman"/>
          <w:sz w:val="24"/>
          <w:szCs w:val="24"/>
          <w:rtl/>
        </w:rPr>
        <w:t xml:space="preserve">בתנאים של משאבים מוגבלים, עקרון האיגום נועד לדחוף את מפקדי התחנות לפתרונות יצירתיים. פתרונות של מניעה מצבית ושיתופי פעולה חיצוניים נקבעו כתנאי לאישור התוכנית.</w:t>
      </w:r>
      <w:r>
        <w:rPr>
          <w:rStyle w:val="FootnoteReference"/>
        </w:rPr>
        <w:footnoteReference w:id="66"/>
      </w:r>
      <w:r>
        <w:rPr>
          <w:rFonts w:ascii="Times New Roman" w:cs="David" w:eastAsia="David" w:hAnsi="Times New Roman"/>
          <w:sz w:val="24"/>
          <w:szCs w:val="24"/>
          <w:rtl/>
        </w:rPr>
        <w:t xml:space="preserve"> זו בחירה ארגונית משמעותית, משום שהיא מעבירה חלק מן האחריות להצלחה לגורמים שאינם כפופים למשטרה. תחנה שפועלת לצד רשות מקומית חזקה נמצאת בנקודת פתיחה טובה יותר מתחנה שפועלת לצד רשות חלשה, והפער הזה אינו קשור לאיכות הפיקוד בתחנה.</w:t>
      </w:r>
    </w:p>
    <w:p>
      <w:pPr>
        <w:bidi/>
        <w:spacing w:after="120" w:line="360"/>
        <w:ind w:firstLine="0"/>
        <w:jc w:val="both"/>
      </w:pPr>
      <w:r>
        <w:rPr>
          <w:rFonts w:ascii="Times New Roman" w:cs="David" w:eastAsia="David" w:hAnsi="Times New Roman"/>
          <w:sz w:val="24"/>
          <w:szCs w:val="24"/>
          <w:rtl/>
        </w:rPr>
        <w:t xml:space="preserve">בחברה הערבית הקושי הזה חריף במיוחד. אלרן ועמיתיו מסבירים את התפתחות הפשיעה האלימה בחברה הערבית בשילוב של מצב כלכלי קשה, פירוק המסגרת החמולתית, נשירה של צעירים ממסגרות חינוך ותעסוקה, וזמינות גוברת של נשק בלתי חוקי.</w:t>
      </w:r>
      <w:r>
        <w:rPr>
          <w:rStyle w:val="FootnoteReference"/>
        </w:rPr>
        <w:footnoteReference w:id="67"/>
      </w:r>
      <w:r>
        <w:rPr>
          <w:rFonts w:ascii="Times New Roman" w:cs="David" w:eastAsia="David" w:hAnsi="Times New Roman"/>
          <w:sz w:val="24"/>
          <w:szCs w:val="24"/>
          <w:rtl/>
        </w:rPr>
        <w:t xml:space="preserve"> בתנאים כאלה, שותפים חיצוניים חזקים הם בדיוק מה שחסר. מודל שמניח קיום של רשת מוסדית מקומית מתפקדת פועל בתנאים קשים יותר דווקא במקומות שבהם הבעיה חמורה יותר.</w:t>
      </w:r>
    </w:p>
    <w:p>
      <w:pPr>
        <w:bidi/>
        <w:spacing w:after="120" w:line="360"/>
        <w:ind w:firstLine="0"/>
        <w:jc w:val="both"/>
      </w:pPr>
      <w:r>
        <w:rPr>
          <w:rFonts w:ascii="Times New Roman" w:cs="David" w:eastAsia="David" w:hAnsi="Times New Roman"/>
          <w:sz w:val="24"/>
          <w:szCs w:val="24"/>
          <w:rtl/>
        </w:rPr>
        <w:t xml:space="preserve">כלל השליש דורש הסבר נוסף. חלק מאמצעי המניעה המצבית, כמו תאורה או שינוי פיזי של מקום, יכולים להפחית את הצורך בעיכובים ובחיפושים. אבל אין להסיק מכך שמניעה מצבית לעולם אינה פוגעת בזכויות. מצלמות מעוררות שאלות של פרטיות, ובירנהק מראה שמערכות מצלמות לזיהוי מספרי רכב הופעלו בישראל בלי הסדר מפורש בחוק.</w:t>
      </w:r>
      <w:r>
        <w:rPr>
          <w:rStyle w:val="FootnoteReference"/>
        </w:rPr>
        <w:footnoteReference w:id="68"/>
      </w:r>
      <w:r>
        <w:rPr>
          <w:rFonts w:ascii="Times New Roman" w:cs="David" w:eastAsia="David" w:hAnsi="Times New Roman"/>
          <w:sz w:val="24"/>
          <w:szCs w:val="24"/>
          <w:rtl/>
        </w:rPr>
        <w:t xml:space="preserve"> גם חיפוש נשק צריך מקור סמכות, אף אם הוא נכלל בתוכנית שמוגדרת כמניעתית. היתרון של כלל השליש הוא בהרחבת האפשרויות שעומדות לרשות התחנה, בתנאי שכל אמצעי ייבחן משפטית לפי טיבו.</w:t>
      </w:r>
    </w:p>
    <w:p>
      <w:pPr>
        <w:bidi/>
        <w:spacing w:after="120" w:line="360"/>
        <w:ind w:firstLine="0"/>
        <w:jc w:val="both"/>
      </w:pPr>
      <w:r>
        <w:rPr>
          <w:rFonts w:ascii="Times New Roman" w:cs="David" w:eastAsia="David" w:hAnsi="Times New Roman"/>
          <w:sz w:val="24"/>
          <w:szCs w:val="24"/>
          <w:rtl/>
        </w:rPr>
        <w:t xml:space="preserve">רכיב נוסף הוא מינוי אחראי. לכל בעיה מונה קצין בכיר כמתאם, שהיה אחראי על ביצוע תוכנית התקיפה ועל תיעודה.</w:t>
      </w:r>
      <w:r>
        <w:rPr>
          <w:rStyle w:val="FootnoteReference"/>
        </w:rPr>
        <w:footnoteReference w:id="69"/>
      </w:r>
      <w:r>
        <w:rPr>
          <w:rFonts w:ascii="Times New Roman" w:cs="David" w:eastAsia="David" w:hAnsi="Times New Roman"/>
          <w:sz w:val="24"/>
          <w:szCs w:val="24"/>
          <w:rtl/>
        </w:rPr>
        <w:t xml:space="preserve"> המינוי נועד למנוע מצב שבו תוכנית מאושרת ונשכחת, ולקשור את ההחלטה לגורם מזוהה בארגון. אבל תיעוד הביצוע אינו מדידה של התוצאה, וההבחנה בין השניים עומדת במרכז תת-הפרק הבא.</w:t>
      </w:r>
    </w:p>
    <w:p>
      <w:pPr>
        <w:pStyle w:val="Heading2"/>
        <w:bidi/>
        <w:spacing w:after="160" w:before="240"/>
        <w:jc w:val="right"/>
      </w:pPr>
      <w:r>
        <w:rPr>
          <w:rFonts w:ascii="Times New Roman" w:cs="David" w:eastAsia="David" w:hAnsi="Times New Roman"/>
          <w:b/>
          <w:bCs/>
          <w:sz w:val="28"/>
          <w:szCs w:val="28"/>
          <w:rtl/>
        </w:rPr>
        <w:t xml:space="preserve">3.4 מדדי ההצלחה, מנגנון ההערכה והסיכונים המשפטיים</w:t>
      </w:r>
    </w:p>
    <w:p>
      <w:pPr>
        <w:bidi/>
        <w:spacing w:after="120" w:line="360"/>
        <w:ind w:firstLine="0"/>
        <w:jc w:val="both"/>
      </w:pPr>
      <w:r>
        <w:rPr>
          <w:rFonts w:ascii="Times New Roman" w:cs="David" w:eastAsia="David" w:hAnsi="Times New Roman"/>
          <w:sz w:val="24"/>
          <w:szCs w:val="24"/>
          <w:rtl/>
        </w:rPr>
        <w:t xml:space="preserve">מנגנון ההערכה היה אמור לתרגם את התיאוריה לשגרה ארגונית. כל תחנה נמדדה מול עצמה ולא מול תחנות אחרות, וההצלחה הוגדרה כמניעת פשיעה ולא כהיקף תפוקות.</w:t>
      </w:r>
      <w:r>
        <w:rPr>
          <w:rStyle w:val="FootnoteReference"/>
        </w:rPr>
        <w:footnoteReference w:id="70"/>
      </w:r>
      <w:r>
        <w:rPr>
          <w:rFonts w:ascii="Times New Roman" w:cs="David" w:eastAsia="David" w:hAnsi="Times New Roman"/>
          <w:sz w:val="24"/>
          <w:szCs w:val="24"/>
          <w:rtl/>
        </w:rPr>
        <w:t xml:space="preserve"> זהו לב הרפורמה. מערכת המדידה הציגה לכל תחנה את נתוני הפשיעה בתוך הפוליגון ומחוצה לו, וגם ציון שמשקף את מידת הביצוע של תוכנית התקיפה ואת השימוש בשלושת מקורות המשאבים.</w:t>
      </w:r>
      <w:r>
        <w:rPr>
          <w:rStyle w:val="FootnoteReference"/>
        </w:rPr>
        <w:footnoteReference w:id="71"/>
      </w:r>
      <w:r>
        <w:rPr>
          <w:rFonts w:ascii="Times New Roman" w:cs="David" w:eastAsia="David" w:hAnsi="Times New Roman"/>
          <w:sz w:val="24"/>
          <w:szCs w:val="24"/>
          <w:rtl/>
        </w:rPr>
        <w:t xml:space="preserve"> שני סוגי המידע, תוצאה וביצוע, מוצגים זה לצד זה, וכך אפשר לראות אם הפער ביניהם הולך ומצטמצם.</w:t>
      </w:r>
    </w:p>
    <w:p>
      <w:pPr>
        <w:bidi/>
        <w:spacing w:after="120" w:line="360"/>
        <w:ind w:firstLine="0"/>
        <w:jc w:val="both"/>
      </w:pPr>
      <w:r>
        <w:rPr>
          <w:rFonts w:ascii="Times New Roman" w:cs="David" w:eastAsia="David" w:hAnsi="Times New Roman"/>
          <w:sz w:val="24"/>
          <w:szCs w:val="24"/>
          <w:rtl/>
        </w:rPr>
        <w:t xml:space="preserve">המערכת נועדה גם לאפשר למידה בין תחנות. תחנות יכלו לראות את ההצלחות ואת הכישלונות של תחנות אחרות, והמטה הארצי הפיץ פעם בחצי שנה ריכוז של הפעולות שהשיגו את התוצאות הטובות ביותר בכל תחום. כאשר מדדי הביצוע של תחנה היו נמוכים, מפקדה התבקש לבדוק אם הבעיה בתוכנית עצמה או ביישומה, ולשנות את התוכנית בהתאם.</w:t>
      </w:r>
      <w:r>
        <w:rPr>
          <w:rStyle w:val="FootnoteReference"/>
        </w:rPr>
        <w:footnoteReference w:id="72"/>
      </w:r>
      <w:r>
        <w:rPr>
          <w:rFonts w:ascii="Times New Roman" w:cs="David" w:eastAsia="David" w:hAnsi="Times New Roman"/>
          <w:sz w:val="24"/>
          <w:szCs w:val="24"/>
          <w:rtl/>
        </w:rPr>
        <w:t xml:space="preserve"> ההבחנה בין תקפות התוכנית לבין איכות הביצוע מובנית אפוא במודל עצמו.</w:t>
      </w:r>
    </w:p>
    <w:p>
      <w:pPr>
        <w:bidi/>
        <w:spacing w:after="120" w:line="360"/>
        <w:ind w:firstLine="0"/>
        <w:jc w:val="both"/>
      </w:pPr>
      <w:r>
        <w:rPr>
          <w:rFonts w:ascii="Times New Roman" w:cs="David" w:eastAsia="David" w:hAnsi="Times New Roman"/>
          <w:sz w:val="24"/>
          <w:szCs w:val="24"/>
          <w:rtl/>
        </w:rPr>
        <w:t xml:space="preserve">למנגנון יש גם סיכון מובנה. כאשר ארגון קובע יעד מספרי ומודד את יחידותיו לפיו, היעד משנה את התנהגות העובדים. החשש הזה התממש: גם מתוך הארגון עלתה ביקורת שלפיה תוכניות התקיפה הפכו למטרה בפני עצמה, ולא לאמצעי להשגת מטרה.</w:t>
      </w:r>
      <w:r>
        <w:rPr>
          <w:rStyle w:val="FootnoteReference"/>
        </w:rPr>
        <w:footnoteReference w:id="73"/>
      </w:r>
      <w:r>
        <w:rPr>
          <w:rFonts w:ascii="Times New Roman" w:cs="David" w:eastAsia="David" w:hAnsi="Times New Roman"/>
          <w:sz w:val="24"/>
          <w:szCs w:val="24"/>
          <w:rtl/>
        </w:rPr>
        <w:t xml:space="preserve"> זו בדיוק התופעה שגולדשטיין תיאר בפתח הצעתו, ושהמודל נועד לתקן.</w:t>
      </w:r>
      <w:r>
        <w:rPr>
          <w:rStyle w:val="FootnoteReference"/>
        </w:rPr>
        <w:footnoteReference w:id="74"/>
      </w:r>
      <w:r>
        <w:rPr>
          <w:rFonts w:ascii="Times New Roman" w:cs="David" w:eastAsia="David" w:hAnsi="Times New Roman"/>
          <w:sz w:val="24"/>
          <w:szCs w:val="24"/>
          <w:rtl/>
        </w:rPr>
        <w:t xml:space="preserve"> מערכת מדידה שאינה מתגוננת מפני הסחף הזה עלולה לשחזר את הבעיה שהיא באה לפתור.</w:t>
      </w:r>
    </w:p>
    <w:p>
      <w:pPr>
        <w:bidi/>
        <w:spacing w:after="120" w:line="360"/>
        <w:ind w:firstLine="0"/>
        <w:jc w:val="both"/>
      </w:pPr>
      <w:r>
        <w:rPr>
          <w:rFonts w:ascii="Times New Roman" w:cs="David" w:eastAsia="David" w:hAnsi="Times New Roman"/>
          <w:sz w:val="24"/>
          <w:szCs w:val="24"/>
          <w:rtl/>
        </w:rPr>
        <w:t xml:space="preserve">הסיכון המשפטי קרוב לכך. דוח האקדמיות הלאומיות מזהיר מפני פערים בין קבוצות בהיקף המפגשים ובאופיים כאשר האכיפה ממוקדת באנשים או במקומות בסיכון גבוה.</w:t>
      </w:r>
      <w:r>
        <w:rPr>
          <w:rStyle w:val="FootnoteReference"/>
        </w:rPr>
        <w:footnoteReference w:id="75"/>
      </w:r>
      <w:r>
        <w:rPr>
          <w:rFonts w:ascii="Times New Roman" w:cs="David" w:eastAsia="David" w:hAnsi="Times New Roman"/>
          <w:sz w:val="24"/>
          <w:szCs w:val="24"/>
          <w:rtl/>
        </w:rPr>
        <w:t xml:space="preserve"> תקציר ההערכה של אמו"ן מתאר את הפעילות במונחים של יעדים ומשאבים, אך בתיאור שלבי התגובה וההערכה אין פירוט דומה של אמות המידה לבחירת האדם שאליו יפנה השוטר בתוך הפוליגון.</w:t>
      </w:r>
      <w:r>
        <w:rPr>
          <w:rStyle w:val="FootnoteReference"/>
        </w:rPr>
        <w:footnoteReference w:id="76"/>
      </w:r>
      <w:r>
        <w:rPr>
          <w:rFonts w:ascii="Times New Roman" w:cs="David" w:eastAsia="David" w:hAnsi="Times New Roman"/>
          <w:sz w:val="24"/>
          <w:szCs w:val="24"/>
          <w:rtl/>
        </w:rPr>
        <w:t xml:space="preserve"> אין בכך פגם בתוכנית כשלעצמה, שהרי החוק והנהלים עוסקים בשאלות האלה. השאלה היא אם מדידת התוכנית צריכה לכלול גם את אופן הפעלת הסמכות במפגש. זו הצעה להרחבת ההערכה, ולא ממצא שלפיו אמו"ן הגדילה בפועל את מספר המפגשים עם אנשים שלא עברו עבירה.</w:t>
      </w:r>
    </w:p>
    <w:p>
      <w:pPr>
        <w:bidi/>
        <w:spacing w:after="120" w:line="360"/>
        <w:ind w:firstLine="0"/>
        <w:jc w:val="both"/>
      </w:pPr>
      <w:r>
        <w:rPr>
          <w:rFonts w:ascii="Times New Roman" w:cs="David" w:eastAsia="David" w:hAnsi="Times New Roman"/>
          <w:sz w:val="24"/>
          <w:szCs w:val="24"/>
          <w:rtl/>
        </w:rPr>
        <w:t xml:space="preserve">כאן חוזרת ההכרעה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הפעלת סמכות במשך שנים בלי אמות מידה ברורות וגלויות הובילה לשימוש סלקטיבי ולהפליה, גם בלי כוונה.</w:t>
      </w:r>
      <w:r>
        <w:rPr>
          <w:rStyle w:val="FootnoteReference"/>
        </w:rPr>
        <w:footnoteReference w:id="77"/>
      </w:r>
      <w:r>
        <w:rPr>
          <w:rFonts w:ascii="Times New Roman" w:cs="David" w:eastAsia="David" w:hAnsi="Times New Roman"/>
          <w:sz w:val="24"/>
          <w:szCs w:val="24"/>
          <w:rtl/>
        </w:rPr>
        <w:t xml:space="preserve"> מודל שמבוסס על מיקוד, שבו התחנה בוחרת את המוקד לפי נתוני פשיעה מקומיים, אינו מפר בהכרח את הכללים האלה. אך הוא מגביר את הצורך בהם, משום שהוא מרכז את הפעילות המשטרתית באוכלוסייה מוגדרת ומעודד יוזמה מצד השוטרים. פרק 7 יבחן אם הרפורמה כללה מענה לכך.</w:t>
      </w:r>
    </w:p>
    <w:p>
      <w:pPr>
        <w:pStyle w:val="Heading1"/>
        <w:pageBreakBefore/>
        <w:bidi/>
        <w:spacing w:after="160" w:before="240"/>
        <w:jc w:val="center"/>
      </w:pPr>
      <w:r>
        <w:rPr>
          <w:rFonts w:ascii="Times New Roman" w:cs="David" w:eastAsia="David" w:hAnsi="Times New Roman"/>
          <w:b/>
          <w:bCs/>
          <w:sz w:val="32"/>
          <w:szCs w:val="32"/>
          <w:rtl/>
        </w:rPr>
        <w:t xml:space="preserve">4. צעירים ערבים בני 18 עד 24 כמקרה מבחן</w:t>
      </w:r>
    </w:p>
    <w:p>
      <w:pPr>
        <w:pStyle w:val="Heading2"/>
        <w:bidi/>
        <w:spacing w:after="160" w:before="240"/>
        <w:jc w:val="right"/>
      </w:pPr>
      <w:r>
        <w:rPr>
          <w:rFonts w:ascii="Times New Roman" w:cs="David" w:eastAsia="David" w:hAnsi="Times New Roman"/>
          <w:b/>
          <w:bCs/>
          <w:sz w:val="28"/>
          <w:szCs w:val="28"/>
          <w:rtl/>
        </w:rPr>
        <w:t xml:space="preserve">4.1 ההצדקה לבחירת קבוצת הגיל</w:t>
      </w:r>
    </w:p>
    <w:p>
      <w:pPr>
        <w:bidi/>
        <w:spacing w:after="120" w:line="360"/>
        <w:ind w:firstLine="0"/>
        <w:jc w:val="both"/>
      </w:pPr>
      <w:r>
        <w:rPr>
          <w:rFonts w:ascii="Times New Roman" w:cs="David" w:eastAsia="David" w:hAnsi="Times New Roman"/>
          <w:sz w:val="24"/>
          <w:szCs w:val="24"/>
          <w:rtl/>
        </w:rPr>
        <w:t xml:space="preserve">מקרה מבחן בעבודה כזו אינו דוגמה להמחשה. הצעירים הערבים בני 18 עד 24 נבחרו משום שבקבוצה הזו מצטברים ארבעה קשיים שקשורים זה לזה: חשיפה גבוהה לפשיעה חמורה, נוכחות אינטנסיבית של מנגנוני אכיפה, טענות מבוססות לשיטור חסר ולשיטור יתר גם יחד, ורמת אמון נמוכה, שמקשה על שיתוף הפעולה שהמודל תלוי בו. חלק מן הנתונים על הקשיים האלה נוגעים לחברה הערבית כולה ולא לקבוצת הגיל בלבד.</w:t>
      </w:r>
      <w:r>
        <w:rPr>
          <w:rStyle w:val="FootnoteReference"/>
        </w:rPr>
        <w:footnoteReference w:id="78"/>
      </w:r>
      <w:r>
        <w:rPr>
          <w:rFonts w:ascii="Times New Roman" w:cs="David" w:eastAsia="David" w:hAnsi="Times New Roman"/>
          <w:sz w:val="24"/>
          <w:szCs w:val="24"/>
          <w:rtl/>
        </w:rPr>
        <w:t xml:space="preserve"> לכן הם משמשים רקע לדיון, ואין לייחס על פיהם תוצאות של הרפורמה ישירות לצעירים.</w:t>
      </w:r>
    </w:p>
    <w:p>
      <w:pPr>
        <w:bidi/>
        <w:spacing w:after="120" w:line="360"/>
        <w:ind w:firstLine="0"/>
        <w:jc w:val="both"/>
      </w:pPr>
      <w:r>
        <w:rPr>
          <w:rFonts w:ascii="Times New Roman" w:cs="David" w:eastAsia="David" w:hAnsi="Times New Roman"/>
          <w:sz w:val="24"/>
          <w:szCs w:val="24"/>
          <w:rtl/>
        </w:rPr>
        <w:t xml:space="preserve">הנתון המרכזי נוגע להיקף המגע עם מערכת האכיפה. כאמור, בשנת 2023 היו 54% מן המעצרים של צעירים לא יהודים מעצרים של בני 18 עד 24, ושיעור המעצרים בקבוצה עמד על 26.6 לאלף נפש, לעומת פחות מחמישה לאלף בקרב יהודים בני אותו גיל.</w:t>
      </w:r>
      <w:r>
        <w:rPr>
          <w:rStyle w:val="FootnoteReference"/>
        </w:rPr>
        <w:footnoteReference w:id="79"/>
      </w:r>
      <w:r>
        <w:rPr>
          <w:rFonts w:ascii="Times New Roman" w:cs="David" w:eastAsia="David" w:hAnsi="Times New Roman"/>
          <w:sz w:val="24"/>
          <w:szCs w:val="24"/>
          <w:rtl/>
        </w:rPr>
        <w:t xml:space="preserve"> גודל הפער אינו מסביר את מקורו. כדי להבין אותו צריך לבחון את כל שלבי ההליך, ולא רק את נקודת הכניסה אליו. בני 18 עד 24 בולטים גם בשלב מאוחר יותר: 49% מכתבי האישום שהגישה התביעה המשטרתית נגד צעירים לא יהודים בשנת 2023 הוגשו נגד בני קבוצת הגיל הזו.</w:t>
      </w:r>
      <w:r>
        <w:rPr>
          <w:rStyle w:val="FootnoteReference"/>
        </w:rPr>
        <w:footnoteReference w:id="80"/>
      </w:r>
    </w:p>
    <w:p>
      <w:pPr>
        <w:bidi/>
        <w:spacing w:after="120" w:line="360"/>
        <w:ind w:firstLine="0"/>
        <w:jc w:val="both"/>
      </w:pPr>
      <w:r>
        <w:rPr>
          <w:rFonts w:ascii="Times New Roman" w:cs="David" w:eastAsia="David" w:hAnsi="Times New Roman"/>
          <w:sz w:val="24"/>
          <w:szCs w:val="24"/>
          <w:rtl/>
        </w:rPr>
        <w:t xml:space="preserve">הגיל הזה הוא גם נקודת מעבר חברתית. אלה השנים שבהן צעירים יוצאים ממסגרות החינוך, ונכנסים, או אינם נכנסים, לשוק העבודה ולהשכלה הגבוהה. אלרן ועמיתיו מונים את הנשירה ממסגרות חינוך ותעסוקה בין הגורמים המרכזיים להתפתחות הפשיעה האלימה בחברה הערבית.</w:t>
      </w:r>
      <w:r>
        <w:rPr>
          <w:rStyle w:val="FootnoteReference"/>
        </w:rPr>
        <w:footnoteReference w:id="81"/>
      </w:r>
      <w:r>
        <w:rPr>
          <w:rFonts w:ascii="Times New Roman" w:cs="David" w:eastAsia="David" w:hAnsi="Times New Roman"/>
          <w:sz w:val="24"/>
          <w:szCs w:val="24"/>
          <w:rtl/>
        </w:rPr>
        <w:t xml:space="preserve"> בשלב הזה של החיים, למפגש עם המשטרה ולמענים בתחומי החינוך והתעסוקה עשויות להיות השלכות ארוכות טווח. זו סיבה נוספת לבחון את ההתערבות דווקא בגילים האלה.</w:t>
      </w:r>
    </w:p>
    <w:p>
      <w:pPr>
        <w:bidi/>
        <w:spacing w:after="120" w:line="360"/>
        <w:ind w:firstLine="0"/>
        <w:jc w:val="both"/>
      </w:pPr>
      <w:r>
        <w:rPr>
          <w:rFonts w:ascii="Times New Roman" w:cs="David" w:eastAsia="David" w:hAnsi="Times New Roman"/>
          <w:sz w:val="24"/>
          <w:szCs w:val="24"/>
          <w:rtl/>
        </w:rPr>
        <w:t xml:space="preserve">יש להסביר גם מדוע נבחרו בגירים צעירים ולא קטינים. מלבד מיקוד העבודה בבגירים, מסמך הכנסת מציג את הנתונים בחלוקה לקבוצות גיל של 18 עד 24 ושל 25 עד 34.</w:t>
      </w:r>
      <w:r>
        <w:rPr>
          <w:rStyle w:val="FootnoteReference"/>
        </w:rPr>
        <w:footnoteReference w:id="82"/>
      </w:r>
      <w:r>
        <w:rPr>
          <w:rFonts w:ascii="Times New Roman" w:cs="David" w:eastAsia="David" w:hAnsi="Times New Roman"/>
          <w:sz w:val="24"/>
          <w:szCs w:val="24"/>
          <w:rtl/>
        </w:rPr>
        <w:t xml:space="preserve"> החלוקה מאפשרת להשוות בין קבוצות אוכלוסייה באותו טווח גיל, בכפוף להבדלים בנסיבות ובסוגי העבירות. היא גם מוציאה מן הדיון את ההסדרים המיוחדים שחלים על קטינים, ולכן אין להסיק ממנה דבר עליהם. אבל גם בקבוצת הבגירים, השוואת שיעורי המעצר לבדה אינה מסבירה את מקור הפער.</w:t>
      </w:r>
    </w:p>
    <w:p>
      <w:pPr>
        <w:pStyle w:val="Heading2"/>
        <w:bidi/>
        <w:spacing w:after="160" w:before="240"/>
        <w:jc w:val="right"/>
      </w:pPr>
      <w:r>
        <w:rPr>
          <w:rFonts w:ascii="Times New Roman" w:cs="David" w:eastAsia="David" w:hAnsi="Times New Roman"/>
          <w:b/>
          <w:bCs/>
          <w:sz w:val="28"/>
          <w:szCs w:val="28"/>
          <w:rtl/>
        </w:rPr>
        <w:t xml:space="preserve">4.2 נשק בלתי חוקי, ירי וחשיפה לעבריינות</w:t>
      </w:r>
    </w:p>
    <w:p>
      <w:pPr>
        <w:bidi/>
        <w:spacing w:after="120" w:line="360"/>
        <w:ind w:firstLine="0"/>
        <w:jc w:val="both"/>
      </w:pPr>
      <w:r>
        <w:rPr>
          <w:rFonts w:ascii="Times New Roman" w:cs="David" w:eastAsia="David" w:hAnsi="Times New Roman"/>
          <w:sz w:val="24"/>
          <w:szCs w:val="24"/>
          <w:rtl/>
        </w:rPr>
        <w:t xml:space="preserve">עבירות הירי אינן תופעה שולית בחיי הקהילות הערביות. הן פוגעות בביטחון הפיזי של התושבים וגם באמונם ביכולת המדינה והמשטרה להגן עליהם. היקף התופעה ניזון מבעיית המשילות בחברה הערבית, ובאותו זמן מחריף אותה.</w:t>
      </w:r>
      <w:r>
        <w:rPr>
          <w:rStyle w:val="FootnoteReference"/>
        </w:rPr>
        <w:footnoteReference w:id="83"/>
      </w:r>
      <w:r>
        <w:rPr>
          <w:rFonts w:ascii="Times New Roman" w:cs="David" w:eastAsia="David" w:hAnsi="Times New Roman"/>
          <w:sz w:val="24"/>
          <w:szCs w:val="24"/>
          <w:rtl/>
        </w:rPr>
        <w:t xml:space="preserve"> התיאור הזה מוציא את הבעיה מגבולות המנדט המשטרתי הצר. תחנה שמטפלת בעבירות ירי אינה מתמודדת עם תופעת פשיעה מבודדת, אלא עם ביטוי של מערכת יחסים בין קהילה לבין המדינה.</w:t>
      </w:r>
    </w:p>
    <w:p>
      <w:pPr>
        <w:bidi/>
        <w:spacing w:after="120" w:line="360"/>
        <w:ind w:firstLine="0"/>
        <w:jc w:val="both"/>
      </w:pPr>
      <w:r>
        <w:rPr>
          <w:rFonts w:ascii="Times New Roman" w:cs="David" w:eastAsia="David" w:hAnsi="Times New Roman"/>
          <w:sz w:val="24"/>
          <w:szCs w:val="24"/>
          <w:rtl/>
        </w:rPr>
        <w:t xml:space="preserve">מבקר המדינה פירט את השימושים העיקריים בנשק: יישוב סכסוכים בין עבריינים ובין משפחות, הפגנת כוח והגנה עצמית. לפי נתוני המשטרה שהוצגו בדוח, יותר מ-70% מעבירות הירי בחברה הערבית בוצעו בידי אזרחים שמוגדרים "נורמטיביים".</w:t>
      </w:r>
      <w:r>
        <w:rPr>
          <w:rStyle w:val="FootnoteReference"/>
        </w:rPr>
        <w:footnoteReference w:id="84"/>
      </w:r>
      <w:r>
        <w:rPr>
          <w:rFonts w:ascii="Times New Roman" w:cs="David" w:eastAsia="David" w:hAnsi="Times New Roman"/>
          <w:sz w:val="24"/>
          <w:szCs w:val="24"/>
          <w:rtl/>
        </w:rPr>
        <w:t xml:space="preserve"> הנתון משנה את מבנה הבעיה. כאשר רוב היורים אינם עבריינים שהפשיעה היא עיסוקם העיקרי, ההיגיון של הרתעה ממוקדת, שמכוונת לקבוצה קטנה של עבריינים פעילים, אינו מתאים בהכרח לכל דפוסי הירי.</w:t>
      </w:r>
    </w:p>
    <w:p>
      <w:pPr>
        <w:bidi/>
        <w:spacing w:after="120" w:line="360"/>
        <w:ind w:firstLine="0"/>
        <w:jc w:val="both"/>
      </w:pPr>
      <w:r>
        <w:rPr>
          <w:rFonts w:ascii="Times New Roman" w:cs="David" w:eastAsia="David" w:hAnsi="Times New Roman"/>
          <w:sz w:val="24"/>
          <w:szCs w:val="24"/>
          <w:rtl/>
        </w:rPr>
        <w:t xml:space="preserve">זו נקודה מרכזית לשאלת התוקף של המודל בהקשר הישראלי. ההרתעה הממוקדת הראתה אפקט גדול יותר בתוכניות שכוונו לכנופיות ולקבוצות עברייניות פעילות.</w:t>
      </w:r>
      <w:r>
        <w:rPr>
          <w:rStyle w:val="FootnoteReference"/>
        </w:rPr>
        <w:footnoteReference w:id="85"/>
      </w:r>
      <w:r>
        <w:rPr>
          <w:rFonts w:ascii="Times New Roman" w:cs="David" w:eastAsia="David" w:hAnsi="Times New Roman"/>
          <w:sz w:val="24"/>
          <w:szCs w:val="24"/>
          <w:rtl/>
        </w:rPr>
        <w:t xml:space="preserve"> לפי דוח המבקר משנת 2018, לא כל הירי שנבדק בוצע בידי קבוצות עברייניות מאורגנות. נתון היסטורי זה אינו קובע את הרכב היורים בכל תקופה ובכל יישוב. אבל ההשלכה המעשית ברורה: תחנה שמפעילה את הכלי מול אוכלוסייה שבה רבים מן היורים אינם עבריינים מוכרים עלולה לגלות שהוא פחות מדויק ממה שציפתה, לא משום שהמודל שגוי, אלא משום שהתנאים שונים מאלה שבהם נבחן.</w:t>
      </w:r>
    </w:p>
    <w:p>
      <w:pPr>
        <w:bidi/>
        <w:spacing w:after="120" w:line="360"/>
        <w:ind w:firstLine="0"/>
        <w:jc w:val="both"/>
      </w:pPr>
      <w:r>
        <w:rPr>
          <w:rFonts w:ascii="Times New Roman" w:cs="David" w:eastAsia="David" w:hAnsi="Times New Roman"/>
          <w:sz w:val="24"/>
          <w:szCs w:val="24"/>
          <w:rtl/>
        </w:rPr>
        <w:t xml:space="preserve">מקור הנשק מוסיף רובד נוסף. מבקר המדינה קשר את היקף התופעה לזמינות של נשק בלתי חוקי ולקושי לצמצם אותה,</w:t>
      </w:r>
      <w:r>
        <w:rPr>
          <w:rStyle w:val="FootnoteReference"/>
        </w:rPr>
        <w:footnoteReference w:id="86"/>
      </w:r>
      <w:r>
        <w:rPr>
          <w:rFonts w:ascii="Times New Roman" w:cs="David" w:eastAsia="David" w:hAnsi="Times New Roman"/>
          <w:sz w:val="24"/>
          <w:szCs w:val="24"/>
          <w:rtl/>
        </w:rPr>
        <w:t xml:space="preserve"> וגם אלרן ועמיתיו הצביעו על הזמינות הזו כאחד הגורמים להתפתחות האלימות.</w:t>
      </w:r>
      <w:r>
        <w:rPr>
          <w:rStyle w:val="FootnoteReference"/>
        </w:rPr>
        <w:footnoteReference w:id="87"/>
      </w:r>
      <w:r>
        <w:rPr>
          <w:rFonts w:ascii="Times New Roman" w:cs="David" w:eastAsia="David" w:hAnsi="Times New Roman"/>
          <w:sz w:val="24"/>
          <w:szCs w:val="24"/>
          <w:rtl/>
        </w:rPr>
        <w:t xml:space="preserve"> לפי דוח המבקר, הנשק מגיע מגניבות מצה"ל, מהברחות מירדן, מייצור ביהודה ושומרון ומגניבות מבתים ומכלי רכב.</w:t>
      </w:r>
      <w:r>
        <w:rPr>
          <w:rStyle w:val="FootnoteReference"/>
        </w:rPr>
        <w:footnoteReference w:id="88"/>
      </w:r>
      <w:r>
        <w:rPr>
          <w:rFonts w:ascii="Times New Roman" w:cs="David" w:eastAsia="David" w:hAnsi="Times New Roman"/>
          <w:sz w:val="24"/>
          <w:szCs w:val="24"/>
          <w:rtl/>
        </w:rPr>
        <w:t xml:space="preserve"> מודל שבו כל תחנה בוחרת בעיות בגזרתה מתקשה לטפל בגורם שפועל בקנה מידה ארצי. לכן יש לבחון גם את חלוקת האחריות בין התחנה לבין גורמים שפועלים מחוץ לגזרה.</w:t>
      </w:r>
    </w:p>
    <w:p>
      <w:pPr>
        <w:bidi/>
        <w:spacing w:after="120" w:line="360"/>
        <w:ind w:firstLine="0"/>
        <w:jc w:val="both"/>
      </w:pPr>
      <w:r>
        <w:rPr>
          <w:rFonts w:ascii="Times New Roman" w:cs="David" w:eastAsia="David" w:hAnsi="Times New Roman"/>
          <w:sz w:val="24"/>
          <w:szCs w:val="24"/>
          <w:rtl/>
        </w:rPr>
        <w:t xml:space="preserve">לכל אלה מצטרפת שאלת המשילות. מבקר המדינה תיאר איך החסמים בין המשטרה לחברה הערבית מזינים זה את זה ופוגעים באמון, וכך תורמים להתחמשות ומונעים את שבירת מעגל הירי.</w:t>
      </w:r>
      <w:r>
        <w:rPr>
          <w:rStyle w:val="FootnoteReference"/>
        </w:rPr>
        <w:footnoteReference w:id="89"/>
      </w:r>
      <w:r>
        <w:rPr>
          <w:rFonts w:ascii="Times New Roman" w:cs="David" w:eastAsia="David" w:hAnsi="Times New Roman"/>
          <w:sz w:val="24"/>
          <w:szCs w:val="24"/>
          <w:rtl/>
        </w:rPr>
        <w:t xml:space="preserve"> אזרח שאינו מאמין שהמשטרה תגן עליו עשוי לראות בנשק פתרון סביר, וכל נשק נוסף מגדיל את הסיכוי לאירוע ירי נוסף. שבירת המעגל אינה יכולה להתחיל באכיפה בלבד.</w:t>
      </w:r>
    </w:p>
    <w:p>
      <w:pPr>
        <w:pStyle w:val="Heading2"/>
        <w:bidi/>
        <w:spacing w:after="160" w:before="240"/>
        <w:jc w:val="right"/>
      </w:pPr>
      <w:r>
        <w:rPr>
          <w:rFonts w:ascii="Times New Roman" w:cs="David" w:eastAsia="David" w:hAnsi="Times New Roman"/>
          <w:b/>
          <w:bCs/>
          <w:sz w:val="28"/>
          <w:szCs w:val="28"/>
          <w:rtl/>
        </w:rPr>
        <w:t xml:space="preserve">4.3 מעצרים, תיקי חקירה, כתבי אישום ואיכות האכיפה</w:t>
      </w:r>
    </w:p>
    <w:p>
      <w:pPr>
        <w:bidi/>
        <w:spacing w:after="120" w:line="360"/>
        <w:ind w:firstLine="0"/>
        <w:jc w:val="both"/>
      </w:pPr>
      <w:r>
        <w:rPr>
          <w:rFonts w:ascii="Times New Roman" w:cs="David" w:eastAsia="David" w:hAnsi="Times New Roman"/>
          <w:sz w:val="24"/>
          <w:szCs w:val="24"/>
          <w:rtl/>
        </w:rPr>
        <w:t xml:space="preserve">נתוני האכיפה מראים פערים גדולים בין הקבוצות. בשנים 2023 ו-2024 היו כ-65% מן המעצרים של צעירים בישראל מעצרים של לא יהודים.</w:t>
      </w:r>
      <w:r>
        <w:rPr>
          <w:rStyle w:val="FootnoteReference"/>
        </w:rPr>
        <w:footnoteReference w:id="90"/>
      </w:r>
      <w:r>
        <w:rPr>
          <w:rFonts w:ascii="Times New Roman" w:cs="David" w:eastAsia="David" w:hAnsi="Times New Roman"/>
          <w:sz w:val="24"/>
          <w:szCs w:val="24"/>
          <w:rtl/>
        </w:rPr>
        <w:t xml:space="preserve"> בשנת 2023 נרשמו חשודים לא יהודים ב-46% מן התיקים הגלויים שנפתחו נגד צעירים, ב-50% מתיקי הרכוש, ב-43% מתיקי האלימות והאיומים, וב-50% מתיקי החשיפה.</w:t>
      </w:r>
      <w:r>
        <w:rPr>
          <w:rStyle w:val="FootnoteReference"/>
        </w:rPr>
        <w:footnoteReference w:id="91"/>
      </w:r>
      <w:r>
        <w:rPr>
          <w:rFonts w:ascii="Times New Roman" w:cs="David" w:eastAsia="David" w:hAnsi="Times New Roman"/>
          <w:sz w:val="24"/>
          <w:szCs w:val="24"/>
          <w:rtl/>
        </w:rPr>
        <w:t xml:space="preserve"> תיקי חשיפה נפתחים בעקבות פעילות יזומה של המשטרה ולא בעקבות תלונה, ולכן הנתון האחרון מחייב לבדוק גם איך נבחרים היעדים של הפעילות היזומה.</w:t>
      </w:r>
    </w:p>
    <w:p>
      <w:pPr>
        <w:bidi/>
        <w:spacing w:after="120" w:line="360"/>
        <w:ind w:firstLine="0"/>
        <w:jc w:val="both"/>
      </w:pPr>
      <w:r>
        <w:rPr>
          <w:rFonts w:ascii="Times New Roman" w:cs="David" w:eastAsia="David" w:hAnsi="Times New Roman"/>
          <w:sz w:val="24"/>
          <w:szCs w:val="24"/>
          <w:rtl/>
        </w:rPr>
        <w:t xml:space="preserve">הקושי גדל כשמנסים להסיק משיעורי ייצוג יתר על שיטור יתר. קשה להבחין בין ייצוג יתר שאינו מוצדק לבין אפשרות שבני הקבוצה אכן מעורבים בפשיעה בשיעור גבוה משיעורם באוכלוסייה. מסמך הכנסת מציע כלי חלקי להתמודדות עם הקושי: בדיקה אם מעצרים ותיקי חקירה מובילים לכתבי אישום באותה מידה בכל הקבוצות.</w:t>
      </w:r>
      <w:r>
        <w:rPr>
          <w:rStyle w:val="FootnoteReference"/>
        </w:rPr>
        <w:footnoteReference w:id="92"/>
      </w:r>
      <w:r>
        <w:rPr>
          <w:rFonts w:ascii="Times New Roman" w:cs="David" w:eastAsia="David" w:hAnsi="Times New Roman"/>
          <w:sz w:val="24"/>
          <w:szCs w:val="24"/>
          <w:rtl/>
        </w:rPr>
        <w:t xml:space="preserve"> הכלי הזה יחזור בפרק 7, משום שהוא מאפשר להפריד בין היקף הפעילות לבין איכותה.</w:t>
      </w:r>
    </w:p>
    <w:p>
      <w:pPr>
        <w:bidi/>
        <w:spacing w:after="120" w:line="360"/>
        <w:ind w:firstLine="0"/>
        <w:jc w:val="both"/>
      </w:pPr>
      <w:r>
        <w:rPr>
          <w:rFonts w:ascii="Times New Roman" w:cs="David" w:eastAsia="David" w:hAnsi="Times New Roman"/>
          <w:sz w:val="24"/>
          <w:szCs w:val="24"/>
          <w:rtl/>
        </w:rPr>
        <w:t xml:space="preserve">כשמפעילים את הכלי על עבירות הירי, מתגלה קושי ברור בהשלמת החקירות. מבקר המדינה מצא ששיעור כתבי האישום בעבירות ירי באזורי מגורים, מתוך התיקים שנפתחו בתחנות שנבדקו, היה זניח, והסביר זאת בקשיים של משרדי החקירות והמודיעין להשלים חקירות ולגבש ראיות.</w:t>
      </w:r>
      <w:r>
        <w:rPr>
          <w:rStyle w:val="FootnoteReference"/>
        </w:rPr>
        <w:footnoteReference w:id="93"/>
      </w:r>
      <w:r>
        <w:rPr>
          <w:rFonts w:ascii="Times New Roman" w:cs="David" w:eastAsia="David" w:hAnsi="Times New Roman"/>
          <w:sz w:val="24"/>
          <w:szCs w:val="24"/>
          <w:rtl/>
        </w:rPr>
        <w:t xml:space="preserve"> ביקורת המעקב מצאה שהמצב לא השתנה: בשנים 2017 עד 2019 הוגשו כתבי אישום ב-3% עד 5% בלבד מתיקי הירי, לעומת כ-15% מכלל תיקי החקירה במשטרה בשנת 2019.</w:t>
      </w:r>
      <w:r>
        <w:rPr>
          <w:rStyle w:val="FootnoteReference"/>
        </w:rPr>
        <w:footnoteReference w:id="94"/>
      </w:r>
    </w:p>
    <w:p>
      <w:pPr>
        <w:bidi/>
        <w:spacing w:after="120" w:line="360"/>
        <w:ind w:firstLine="0"/>
        <w:jc w:val="both"/>
      </w:pPr>
      <w:r>
        <w:rPr>
          <w:rFonts w:ascii="Times New Roman" w:cs="David" w:eastAsia="David" w:hAnsi="Times New Roman"/>
          <w:sz w:val="24"/>
          <w:szCs w:val="24"/>
          <w:rtl/>
        </w:rPr>
        <w:t xml:space="preserve">אם כן, יש כאן שתי בעיות שיש לבחון יחד: מגע אינטנסיבי של צעירים לא יהודים עם מערכת האכיפה, ושיעור נמוך מאוד של כתבי אישום בעבירות ירי בחברה הערבית. המסגרת של נטפוף מסבירה כיצד אכיפה מוגברת בתחומים מסוימים יכולה להתקיים לצד הגנה חסרה בתחומים אחרים.</w:t>
      </w:r>
      <w:r>
        <w:rPr>
          <w:rStyle w:val="FootnoteReference"/>
        </w:rPr>
        <w:footnoteReference w:id="95"/>
      </w:r>
      <w:r>
        <w:rPr>
          <w:rFonts w:ascii="Times New Roman" w:cs="David" w:eastAsia="David" w:hAnsi="Times New Roman"/>
          <w:sz w:val="24"/>
          <w:szCs w:val="24"/>
          <w:rtl/>
        </w:rPr>
        <w:t xml:space="preserve"> עם זאת, הנתונים מתייחסים לתקופות שונות ולאוכלוסיות שאינן חופפות לגמרי. לכן אין לראות בצירופם הוכחה שאותם צעירים נעצרים בלי הצדקה או אינם מקבלים הגנה. חשיבותם היא בשאלה המשותפת שהם מעוררים, על היקף המגע עם המשטרה ועל איכות השירות שהקהילה מקבלת ממנה.</w:t>
      </w:r>
    </w:p>
    <w:p>
      <w:pPr>
        <w:bidi/>
        <w:spacing w:after="120" w:line="360"/>
        <w:ind w:firstLine="0"/>
        <w:jc w:val="both"/>
      </w:pPr>
      <w:r>
        <w:rPr>
          <w:rFonts w:ascii="Times New Roman" w:cs="David" w:eastAsia="David" w:hAnsi="Times New Roman"/>
          <w:sz w:val="24"/>
          <w:szCs w:val="24"/>
          <w:rtl/>
        </w:rPr>
        <w:t xml:space="preserve">מבקר המדינה הצביע גם על שורש ארגוני של הכשל. הוא מצא פער בין הגידול במערכים המבצעיים לבין התוספת הקטנה של חוקרים, כך שאין רצף בטיפול באירועים, וחלק ניכר מן הפעילות המבצעית אינו מגיע לשלב החקירה. עוד מצא שעומס העבודה על משרדי החקירות והמודיעין בתחנות שמשרתות בעיקר אוכלוסייה ערבית אינו בא לידי ביטוי בתקני כוח האדם שלהן.</w:t>
      </w:r>
      <w:r>
        <w:rPr>
          <w:rStyle w:val="FootnoteReference"/>
        </w:rPr>
        <w:footnoteReference w:id="96"/>
      </w:r>
      <w:r>
        <w:rPr>
          <w:rFonts w:ascii="Times New Roman" w:cs="David" w:eastAsia="David" w:hAnsi="Times New Roman"/>
          <w:sz w:val="24"/>
          <w:szCs w:val="24"/>
          <w:rtl/>
        </w:rPr>
        <w:t xml:space="preserve"> הממצא מעיד על קשר אפשרי בין מבנה כוח האדם לבין שיעור כתבי האישום, והוא יחזור כשתיבחן שאלת המשאבים.</w:t>
      </w:r>
    </w:p>
    <w:p>
      <w:pPr>
        <w:bidi/>
        <w:spacing w:after="120" w:line="360"/>
        <w:ind w:firstLine="0"/>
        <w:jc w:val="both"/>
      </w:pPr>
      <w:r>
        <w:rPr>
          <w:rFonts w:ascii="Times New Roman" w:cs="David" w:eastAsia="David" w:hAnsi="Times New Roman"/>
          <w:sz w:val="24"/>
          <w:szCs w:val="24"/>
          <w:rtl/>
        </w:rPr>
        <w:t xml:space="preserve">כאן יש להיזהר מקפיצה למסקנה על אפליה. ייצוג יתר בנתוני אכיפה יכול לנבוע ממעורבות גבוהה יותר בעבריינות, מריכוז גיאוגרפי של פעילות משטרתית, מהבדלים בדפוסי הדיווח או משילוב שלהם.</w:t>
      </w:r>
      <w:r>
        <w:rPr>
          <w:rStyle w:val="FootnoteReference"/>
        </w:rPr>
        <w:footnoteReference w:id="97"/>
      </w:r>
      <w:r>
        <w:rPr>
          <w:rFonts w:ascii="Times New Roman" w:cs="David" w:eastAsia="David" w:hAnsi="Times New Roman"/>
          <w:sz w:val="24"/>
          <w:szCs w:val="24"/>
          <w:rtl/>
        </w:rPr>
        <w:t xml:space="preserve"> הבעיה אינה שהנתונים מוכיחים אפליה, אלא שהם אינם מאפשרים לשלול אותה. בלי תיעוד של המפגשים היזומים ושל תוצאותיהם, אי אפשר לבדוק אם הסף לפתיחת תיק זהה בכל הקבוצות. זהו פער במידע ולא בהכרח פער בהתנהגות, אבל הוא מקשה לדעת אם יש גם פער באופן הפעלת הסמכות.</w:t>
      </w:r>
    </w:p>
    <w:p>
      <w:pPr>
        <w:pStyle w:val="Heading2"/>
        <w:bidi/>
        <w:spacing w:after="160" w:before="240"/>
        <w:jc w:val="right"/>
      </w:pPr>
      <w:r>
        <w:rPr>
          <w:rFonts w:ascii="Times New Roman" w:cs="David" w:eastAsia="David" w:hAnsi="Times New Roman"/>
          <w:b/>
          <w:bCs/>
          <w:sz w:val="28"/>
          <w:szCs w:val="28"/>
          <w:rtl/>
        </w:rPr>
        <w:t xml:space="preserve">4.4 בין שיטור חסר לשיטור יתר: אמון, דיווח ושיתוף פעולה</w:t>
      </w:r>
    </w:p>
    <w:p>
      <w:pPr>
        <w:bidi/>
        <w:spacing w:after="120" w:line="360"/>
        <w:ind w:firstLine="0"/>
        <w:jc w:val="both"/>
      </w:pPr>
      <w:r>
        <w:rPr>
          <w:rFonts w:ascii="Times New Roman" w:cs="David" w:eastAsia="David" w:hAnsi="Times New Roman"/>
          <w:sz w:val="24"/>
          <w:szCs w:val="24"/>
          <w:rtl/>
        </w:rPr>
        <w:t xml:space="preserve">הצירוף שתואר יוצר מעגל שמזין את עצמו. חוסר אמון פוגע בנכונות להתלונן ולהעיד, היעדר עדויות מקשה על גיבוש ראיות, ומיעוט כתבי האישום מחזק את התחושה שאין טעם לפנות למשטרה. מבקר המדינה תיאר במפורש איך החסמים האלה מזינים זה את זה, פוגעים באמון החברה הערבית במשטרה ותורמים להתחמשות.</w:t>
      </w:r>
      <w:r>
        <w:rPr>
          <w:rStyle w:val="FootnoteReference"/>
        </w:rPr>
        <w:footnoteReference w:id="98"/>
      </w:r>
      <w:r>
        <w:rPr>
          <w:rFonts w:ascii="Times New Roman" w:cs="David" w:eastAsia="David" w:hAnsi="Times New Roman"/>
          <w:sz w:val="24"/>
          <w:szCs w:val="24"/>
          <w:rtl/>
        </w:rPr>
        <w:t xml:space="preserve"> בסקר משנת 2016, כמחצית מן הנפגעים בחברה הערבית שלא דיווחו למשטרה על עבירות כמו תקיפה, איומים וסכסוכי שכנים הסבירו זאת בסיבות שקשורות לתפקוד המשטרה.</w:t>
      </w:r>
      <w:r>
        <w:rPr>
          <w:rStyle w:val="FootnoteReference"/>
        </w:rPr>
        <w:footnoteReference w:id="99"/>
      </w:r>
      <w:r>
        <w:rPr>
          <w:rFonts w:ascii="Times New Roman" w:cs="David" w:eastAsia="David" w:hAnsi="Times New Roman"/>
          <w:sz w:val="24"/>
          <w:szCs w:val="24"/>
          <w:rtl/>
        </w:rPr>
        <w:t xml:space="preserve"> מדובר בנתון על נפגעים שבחרו שלא לדווח, ולא על כלל הנשאלים.</w:t>
      </w:r>
    </w:p>
    <w:p>
      <w:pPr>
        <w:bidi/>
        <w:spacing w:after="120" w:line="360"/>
        <w:ind w:firstLine="0"/>
        <w:jc w:val="both"/>
      </w:pPr>
      <w:r>
        <w:rPr>
          <w:rFonts w:ascii="Times New Roman" w:cs="David" w:eastAsia="David" w:hAnsi="Times New Roman"/>
          <w:sz w:val="24"/>
          <w:szCs w:val="24"/>
          <w:rtl/>
        </w:rPr>
        <w:t xml:space="preserve">נתוני האמון עצמם מראים מגמה ברורה. בכל השנים שנבדקו היה אמון הציבור הערבי במשטרה נמוך מאמון הציבור היהודי. בסקרים שנערכו בשנים 2019 עד 2023 נרשמה ירידה עקבית בשיעור המשיבים הערבים שהביעו אמון, והשיעור לא עלה גם בשנת 2023, בשונה מן המגמה בחברה היהודית. בשנת 2020 לא נערך סקר.</w:t>
      </w:r>
      <w:r>
        <w:rPr>
          <w:rStyle w:val="FootnoteReference"/>
        </w:rPr>
        <w:footnoteReference w:id="100"/>
      </w:r>
      <w:r>
        <w:rPr>
          <w:rFonts w:ascii="Times New Roman" w:cs="David" w:eastAsia="David" w:hAnsi="Times New Roman"/>
          <w:sz w:val="24"/>
          <w:szCs w:val="24"/>
          <w:rtl/>
        </w:rPr>
        <w:t xml:space="preserve"> הירידה אינה בעיית תדמית בלבד. היא משנה את תנאי הפעולה של כל מודל שיטור שנשען על מידע מן הציבור, ובכלל זה על סקרים מקומיים לתיקוף בעיות ועל דיווחים שוטפים.</w:t>
      </w:r>
    </w:p>
    <w:p>
      <w:pPr>
        <w:bidi/>
        <w:spacing w:after="120" w:line="360"/>
        <w:ind w:firstLine="0"/>
        <w:jc w:val="both"/>
      </w:pPr>
      <w:r>
        <w:rPr>
          <w:rFonts w:ascii="Times New Roman" w:cs="David" w:eastAsia="David" w:hAnsi="Times New Roman"/>
          <w:sz w:val="24"/>
          <w:szCs w:val="24"/>
          <w:rtl/>
        </w:rPr>
        <w:t xml:space="preserve">פרשת אום אל-חיראן ממחישה איך אירוע משטרתי אחד יכול להפוך למשבר ביחסים בין המשטרה לבין קבוצת מיעוט. בית המשפט העליון ציין שתוצאות האירוע העמיקו את משבר האמון בין רשויות המדינה לבין הקהילה הבדואית, ושלמשבר תרמו גם הצהרות פומביות שנמסרו סמוך לאירוע, לפני שהבירור הושלם, ושבהן הוצג יעקוב אבו אלקיעאן כמי שביצע פיגוע.</w:t>
      </w:r>
      <w:r>
        <w:rPr>
          <w:rStyle w:val="FootnoteReference"/>
        </w:rPr>
        <w:footnoteReference w:id="101"/>
      </w:r>
      <w:r>
        <w:rPr>
          <w:rFonts w:ascii="Times New Roman" w:cs="David" w:eastAsia="David" w:hAnsi="Times New Roman"/>
          <w:sz w:val="24"/>
          <w:szCs w:val="24"/>
          <w:rtl/>
        </w:rPr>
        <w:t xml:space="preserve"> אמון הציבור מושפע אפוא לא רק מן השאלה אם הפעלת הכוח הייתה מוצדקת משפטית, אלא גם מאופן הבירור, מן הזהירות בהצגת העובדות ומן ההימנעות מקביעות מוקדמות. בקהילה שבה חוסר האמון קיים ממילא, התנהלות כזו עלולה לפגוע בנכונות למסור מידע ולהתלונן.</w:t>
      </w:r>
    </w:p>
    <w:p>
      <w:pPr>
        <w:bidi/>
        <w:spacing w:after="120" w:line="360"/>
        <w:ind w:firstLine="0"/>
        <w:jc w:val="both"/>
      </w:pPr>
      <w:r>
        <w:rPr>
          <w:rFonts w:ascii="Times New Roman" w:cs="David" w:eastAsia="David" w:hAnsi="Times New Roman"/>
          <w:sz w:val="24"/>
          <w:szCs w:val="24"/>
          <w:rtl/>
        </w:rPr>
        <w:t xml:space="preserve">חסייסי מציע לכך הסבר מבני. לדבריו, בחברה שסועה, שבה החלוקה החברתית היא גם חלוקה פוליטית, יחסי המשטרה עם המיעוט אינם מוסברים בכלים הרגילים לניתוח יחסי משטרה וקהילה.</w:t>
      </w:r>
      <w:r>
        <w:rPr>
          <w:rStyle w:val="FootnoteReference"/>
        </w:rPr>
        <w:footnoteReference w:id="102"/>
      </w:r>
      <w:r>
        <w:rPr>
          <w:rFonts w:ascii="Times New Roman" w:cs="David" w:eastAsia="David" w:hAnsi="Times New Roman"/>
          <w:sz w:val="24"/>
          <w:szCs w:val="24"/>
          <w:rtl/>
        </w:rPr>
        <w:t xml:space="preserve"> בחברות כאלה, פיקוח משטרתי כבד על קבוצת המיעוט אינו מעיד על משילות גבוהה, ולעיתים מעיד על ההפך: כשמנגנוני השילוב החברתי אינם פועלים, עלולה להתפתח בקבוצת המיעוט נטייה שלא לציית לחוק.</w:t>
      </w:r>
      <w:r>
        <w:rPr>
          <w:rStyle w:val="FootnoteReference"/>
        </w:rPr>
        <w:footnoteReference w:id="103"/>
      </w:r>
      <w:r>
        <w:rPr>
          <w:rFonts w:ascii="Times New Roman" w:cs="David" w:eastAsia="David" w:hAnsi="Times New Roman"/>
          <w:sz w:val="24"/>
          <w:szCs w:val="24"/>
          <w:rtl/>
        </w:rPr>
        <w:t xml:space="preserve"> חסייסי ווייצר מצאו בסקר משנת 2003 בקרב תושבים בגירים במחוז הצפון שהמשיבים הערבים היו ביקורתיים יותר כלפי המשטרה מן המשיבים היהודים, וההבדלים נשמרו גם לאחר פיקוח על משתנים אחרים.</w:t>
      </w:r>
      <w:r>
        <w:rPr>
          <w:rStyle w:val="FootnoteReference"/>
        </w:rPr>
        <w:footnoteReference w:id="104"/>
      </w:r>
      <w:r>
        <w:rPr>
          <w:rFonts w:ascii="Times New Roman" w:cs="David" w:eastAsia="David" w:hAnsi="Times New Roman"/>
          <w:sz w:val="24"/>
          <w:szCs w:val="24"/>
          <w:rtl/>
        </w:rPr>
        <w:t xml:space="preserve"> הממצא קדם לרפורמה, ולכן אין לייחס את הפער לה. הוא ממחיש שעמדות הציבור צריכות להיבחן בהקשר החברתי הרחב.</w:t>
      </w:r>
    </w:p>
    <w:p>
      <w:pPr>
        <w:bidi/>
        <w:spacing w:after="120" w:line="360"/>
        <w:ind w:firstLine="0"/>
        <w:jc w:val="both"/>
      </w:pPr>
      <w:r>
        <w:rPr>
          <w:rFonts w:ascii="Times New Roman" w:cs="David" w:eastAsia="David" w:hAnsi="Times New Roman"/>
          <w:sz w:val="24"/>
          <w:szCs w:val="24"/>
          <w:rtl/>
        </w:rPr>
        <w:t xml:space="preserve">מפקדי תחנות שמשרתות את החברה הערבית תיארו את הבעיה כמחסור במשאב בסיסי: גם כשיש נכונות לדווח על פשע, קשה מאוד לגבות עדויות.</w:t>
      </w:r>
      <w:r>
        <w:rPr>
          <w:rStyle w:val="FootnoteReference"/>
        </w:rPr>
        <w:footnoteReference w:id="105"/>
      </w:r>
      <w:r>
        <w:rPr>
          <w:rFonts w:ascii="Times New Roman" w:cs="David" w:eastAsia="David" w:hAnsi="Times New Roman"/>
          <w:sz w:val="24"/>
          <w:szCs w:val="24"/>
          <w:rtl/>
        </w:rPr>
        <w:t xml:space="preserve"> לעדות הזו משקל מיוחד משום שהיא מגיעה מתוך הארגון, והיא מתארת את הבעיה במונחים מבצעיים. קושי בגביית עדויות אינו שולל חקירה שמבוססת על ראיות אחרות, אבל הוא סוגר מקור מידע חשוב ומקשה על השלמת החקירה. במובן הזה, שחיקת האמון אינה גורם חיצוני לאפקטיביות. היא חלק ממנה.</w:t>
      </w:r>
    </w:p>
    <w:p>
      <w:pPr>
        <w:bidi/>
        <w:spacing w:after="120" w:line="360"/>
        <w:ind w:firstLine="0"/>
        <w:jc w:val="both"/>
      </w:pPr>
      <w:r>
        <w:rPr>
          <w:rFonts w:ascii="Times New Roman" w:cs="David" w:eastAsia="David" w:hAnsi="Times New Roman"/>
          <w:sz w:val="24"/>
          <w:szCs w:val="24"/>
          <w:rtl/>
        </w:rPr>
        <w:t xml:space="preserve">הממצאים מתחברים למסגרת שהוצגה בפרק 2. סקוגן הראה שההשפעה של מפגשים שליליים חזקה מזו של מפגשים חיוביים,</w:t>
      </w:r>
      <w:r>
        <w:rPr>
          <w:rStyle w:val="FootnoteReference"/>
        </w:rPr>
        <w:footnoteReference w:id="106"/>
      </w:r>
      <w:r>
        <w:rPr>
          <w:rFonts w:ascii="Times New Roman" w:cs="David" w:eastAsia="David" w:hAnsi="Times New Roman"/>
          <w:sz w:val="24"/>
          <w:szCs w:val="24"/>
          <w:rtl/>
        </w:rPr>
        <w:t xml:space="preserve"> ודזמונד ועמיתיו מצאו ירידה בדיווח על פשיעה במילווקי לאחר פרסום אירועים של אלימות שוטרים, אם כי לא אחרי כל האירועים שנבדקו.</w:t>
      </w:r>
      <w:r>
        <w:rPr>
          <w:rStyle w:val="FootnoteReference"/>
        </w:rPr>
        <w:footnoteReference w:id="107"/>
      </w:r>
      <w:r>
        <w:rPr>
          <w:rFonts w:ascii="Times New Roman" w:cs="David" w:eastAsia="David" w:hAnsi="Times New Roman"/>
          <w:sz w:val="24"/>
          <w:szCs w:val="24"/>
          <w:rtl/>
        </w:rPr>
        <w:t xml:space="preserve"> כאשר קבוצה חווה מפגשים יזומים רבים עם המשטרה, ובאותו זמן רואה מעט הכרעות משפטיות בעבירות החמורות שפוגעות בה, יש לבדוק אם שני המנגנונים פועלים יחד.</w:t>
      </w:r>
    </w:p>
    <w:p>
      <w:pPr>
        <w:bidi/>
        <w:spacing w:after="120" w:line="360"/>
        <w:ind w:firstLine="0"/>
        <w:jc w:val="both"/>
      </w:pPr>
      <w:r>
        <w:rPr>
          <w:rFonts w:ascii="Times New Roman" w:cs="David" w:eastAsia="David" w:hAnsi="Times New Roman"/>
          <w:sz w:val="24"/>
          <w:szCs w:val="24"/>
          <w:rtl/>
        </w:rPr>
        <w:t xml:space="preserve">מכאן מסקנת ביניים. אמו"ן נשענת על שני מקורות מידע מן הציבור: סקר מקומי שמתקף את הבעיות, ונתוני אירועים שחלקם תלויים בדיווח.</w:t>
      </w:r>
      <w:r>
        <w:rPr>
          <w:rStyle w:val="FootnoteReference"/>
        </w:rPr>
        <w:footnoteReference w:id="108"/>
      </w:r>
      <w:r>
        <w:rPr>
          <w:rFonts w:ascii="Times New Roman" w:cs="David" w:eastAsia="David" w:hAnsi="Times New Roman"/>
          <w:sz w:val="24"/>
          <w:szCs w:val="24"/>
          <w:rtl/>
        </w:rPr>
        <w:t xml:space="preserve"> לכן יש לבדוק איך אמון נמוך ונכונות מוגבלת לדווח משפיעים על המידע שעומד לרשות התחנה. הנתונים שהוצגו אינם מודדים ישירות את איכות שני מקורות המידע בקרב בני 18 עד 24, אבל הם מצביעים על קושי שצריך להביא בחשבון כשמיישמים את המודל בקבוצה הזו. זה אינו קושי חיצוני שאפשר לפתור בתוספת משאבים בלבד, אלא תנאי פעולה שמשנה את משמעות היישום.</w:t>
      </w:r>
    </w:p>
    <w:p>
      <w:pPr>
        <w:pStyle w:val="Heading1"/>
        <w:pageBreakBefore/>
        <w:bidi/>
        <w:spacing w:after="160" w:before="240"/>
        <w:jc w:val="center"/>
      </w:pPr>
      <w:r>
        <w:rPr>
          <w:rFonts w:ascii="Times New Roman" w:cs="David" w:eastAsia="David" w:hAnsi="Times New Roman"/>
          <w:b/>
          <w:bCs/>
          <w:sz w:val="32"/>
          <w:szCs w:val="32"/>
          <w:rtl/>
        </w:rPr>
        <w:t xml:space="preserve">5. יישום רפורמת אמו"ן והערכת האפקטיביות שלה</w:t>
      </w:r>
    </w:p>
    <w:p>
      <w:pPr>
        <w:pStyle w:val="Heading2"/>
        <w:bidi/>
        <w:spacing w:after="160" w:before="240"/>
        <w:jc w:val="right"/>
      </w:pPr>
      <w:r>
        <w:rPr>
          <w:rFonts w:ascii="Times New Roman" w:cs="David" w:eastAsia="David" w:hAnsi="Times New Roman"/>
          <w:b/>
          <w:bCs/>
          <w:sz w:val="28"/>
          <w:szCs w:val="28"/>
          <w:rtl/>
        </w:rPr>
        <w:t xml:space="preserve">5.1 תוצאות הרפורמה בעבירות רכוש</w:t>
      </w:r>
    </w:p>
    <w:p>
      <w:pPr>
        <w:bidi/>
        <w:spacing w:after="120" w:line="360"/>
        <w:ind w:firstLine="0"/>
        <w:jc w:val="both"/>
      </w:pPr>
      <w:r>
        <w:rPr>
          <w:rFonts w:ascii="Times New Roman" w:cs="David" w:eastAsia="David" w:hAnsi="Times New Roman"/>
          <w:sz w:val="24"/>
          <w:szCs w:val="24"/>
          <w:rtl/>
        </w:rPr>
        <w:t xml:space="preserve">מחקר ההערכה של אמו"ן נערך בידי המכון לקרימינולוגיה באוניברסיטה העברית בשיתוף מחלקת האסטרטגיה של המשטרה, ופורסם בסדרת דוחות, שכל אחד מהם עוסק ב"סל" אחר של עבירות.</w:t>
      </w:r>
      <w:r>
        <w:rPr>
          <w:rStyle w:val="FootnoteReference"/>
        </w:rPr>
        <w:footnoteReference w:id="109"/>
      </w:r>
      <w:r>
        <w:rPr>
          <w:rFonts w:ascii="Times New Roman" w:cs="David" w:eastAsia="David" w:hAnsi="Times New Roman"/>
          <w:sz w:val="24"/>
          <w:szCs w:val="24"/>
          <w:rtl/>
        </w:rPr>
        <w:t xml:space="preserve"> הדוח על סל עבירות הרכוש חשוב במיוחד, משום שהוא בחן את הרפורמה בתנאים הדומים ביותר לאלה שבהם נבדק המודל בעולם. נבחר בו מערך מחקר מעין-ניסויי: שלוש תחנות התערבות, עם היקף גבוה, בינוני ונמוך של פשיעת רכוש, הושוו לתחנות ביקורת בעלות מאפיינים דומים.</w:t>
      </w:r>
      <w:r>
        <w:rPr>
          <w:rStyle w:val="FootnoteReference"/>
        </w:rPr>
        <w:footnoteReference w:id="110"/>
      </w:r>
    </w:p>
    <w:p>
      <w:pPr>
        <w:bidi/>
        <w:spacing w:after="120" w:line="360"/>
        <w:ind w:firstLine="0"/>
        <w:jc w:val="both"/>
      </w:pPr>
      <w:r>
        <w:rPr>
          <w:rFonts w:ascii="Times New Roman" w:cs="David" w:eastAsia="David" w:hAnsi="Times New Roman"/>
          <w:sz w:val="24"/>
          <w:szCs w:val="24"/>
          <w:rtl/>
        </w:rPr>
        <w:t xml:space="preserve">בתחנה שבה היקף הפשיעה היה גבוה התוצאות היו ברורות. בתוך הפוליגון נמצאה ירידה של כ-50% ושל כ-40% בעבירות הרכוש בהשוואה לשתי תחנות הביקורת, לא נמצאה עדות להתקת הפשיעה לאזורים אחרים, ובהשוואה לאחת מתחנות הביקורת נמצאה גם ירידה מובהקת של 17% מחוץ לפוליגון.</w:t>
      </w:r>
      <w:r>
        <w:rPr>
          <w:rStyle w:val="FootnoteReference"/>
        </w:rPr>
        <w:footnoteReference w:id="111"/>
      </w:r>
      <w:r>
        <w:rPr>
          <w:rFonts w:ascii="Times New Roman" w:cs="David" w:eastAsia="David" w:hAnsi="Times New Roman"/>
          <w:sz w:val="24"/>
          <w:szCs w:val="24"/>
          <w:rtl/>
        </w:rPr>
        <w:t xml:space="preserve"> לממצא האחרון יש משמעות תיאורטית, משום שהוא תואם את דפוס "פיזור התועלת" שתועד בסקירות השיטתיות של שיטור ממוקד מקום.</w:t>
      </w:r>
      <w:r>
        <w:rPr>
          <w:rStyle w:val="FootnoteReference"/>
        </w:rPr>
        <w:footnoteReference w:id="112"/>
      </w:r>
      <w:r>
        <w:rPr>
          <w:rFonts w:ascii="Times New Roman" w:cs="David" w:eastAsia="David" w:hAnsi="Times New Roman"/>
          <w:sz w:val="24"/>
          <w:szCs w:val="24"/>
          <w:rtl/>
        </w:rPr>
        <w:t xml:space="preserve"> בתחנה שבה היקף הפשיעה היה בינוני התקבלה תמונה דומה ברובה.</w:t>
      </w:r>
    </w:p>
    <w:p>
      <w:pPr>
        <w:bidi/>
        <w:spacing w:after="120" w:line="360"/>
        <w:ind w:firstLine="0"/>
        <w:jc w:val="both"/>
      </w:pPr>
      <w:r>
        <w:rPr>
          <w:rFonts w:ascii="Times New Roman" w:cs="David" w:eastAsia="David" w:hAnsi="Times New Roman"/>
          <w:sz w:val="24"/>
          <w:szCs w:val="24"/>
          <w:rtl/>
        </w:rPr>
        <w:t xml:space="preserve">בתחנה השלישית, שבה היקף הפשיעה היה נמוך, התמונה הייתה שונה. הירידה בתוך הפוליגון הייתה קטנה ולא מובהקת, ומחוצה לו נמצאה עלייה, גם היא לא מובהקת. החוקרים הציעו שהשיעור הנמוך של הפשיעה ומיעוט המשאבים שהוקצו לתחנה יכולים להסביר את ההבדל. לפי הנתונים האיכותניים, המשאבים המוגבלים פגעו ביכולת התחנה ליישם את תוכנית התקיפה, והיא לא הצליחה לגייס משאבים נוספים מן המחוז או מן הרשות המקומית.</w:t>
      </w:r>
      <w:r>
        <w:rPr>
          <w:rStyle w:val="FootnoteReference"/>
        </w:rPr>
        <w:footnoteReference w:id="113"/>
      </w:r>
    </w:p>
    <w:p>
      <w:pPr>
        <w:bidi/>
        <w:spacing w:after="120" w:line="360"/>
        <w:ind w:firstLine="0"/>
        <w:jc w:val="both"/>
      </w:pPr>
      <w:r>
        <w:rPr>
          <w:rFonts w:ascii="Times New Roman" w:cs="David" w:eastAsia="David" w:hAnsi="Times New Roman"/>
          <w:sz w:val="24"/>
          <w:szCs w:val="24"/>
          <w:rtl/>
        </w:rPr>
        <w:t xml:space="preserve">לממצא הזה יש חשיבות לשאלת היישום. שלוש התחנות פעלו לפי אותה תפיסה ונמדדו באותה מערכת, אבל נבדלו ברמת הפשיעה ההתחלתית, במשאבים וביכולת לגייס שותפים.</w:t>
      </w:r>
      <w:r>
        <w:rPr>
          <w:rStyle w:val="FootnoteReference"/>
        </w:rPr>
        <w:footnoteReference w:id="114"/>
      </w:r>
      <w:r>
        <w:rPr>
          <w:rFonts w:ascii="Times New Roman" w:cs="David" w:eastAsia="David" w:hAnsi="Times New Roman"/>
          <w:sz w:val="24"/>
          <w:szCs w:val="24"/>
          <w:rtl/>
        </w:rPr>
        <w:t xml:space="preserve"> יש אפוא בסיס לראות במשאבים אחד ההסברים להבדלים בתוצאות. אבל המחקר אינו מבודד את תרומתו של כל גורם, ואינו מוכיח שהמשאבים לבדם הכריעו או שהמודל מתאים באותה מידה לכל תחנה. ההצלחה בחלק מן התחנות מצדיקה לבדוק את תנאי היישום, לצד השאלה אם המודל מתאים לבעיות ולסביבות שונות.</w:t>
      </w:r>
    </w:p>
    <w:p>
      <w:pPr>
        <w:bidi/>
        <w:spacing w:after="120" w:line="360"/>
        <w:ind w:firstLine="0"/>
        <w:jc w:val="both"/>
      </w:pPr>
      <w:r>
        <w:rPr>
          <w:rFonts w:ascii="Times New Roman" w:cs="David" w:eastAsia="David" w:hAnsi="Times New Roman"/>
          <w:sz w:val="24"/>
          <w:szCs w:val="24"/>
          <w:rtl/>
        </w:rPr>
        <w:t xml:space="preserve">לסל הרכוש יש מאפיינים שמקלים על יישום המודל. בתיאור התחנות שנבדקו מופיעים אמצעי מניעה מצבית כמו תאורת רחוב, מצלמות, מחסומים ושילוט,</w:t>
      </w:r>
      <w:r>
        <w:rPr>
          <w:rStyle w:val="FootnoteReference"/>
        </w:rPr>
        <w:footnoteReference w:id="115"/>
      </w:r>
      <w:r>
        <w:rPr>
          <w:rFonts w:ascii="Times New Roman" w:cs="David" w:eastAsia="David" w:hAnsi="Times New Roman"/>
          <w:sz w:val="24"/>
          <w:szCs w:val="24"/>
          <w:rtl/>
        </w:rPr>
        <w:t xml:space="preserve"> כלומר פעולות שאפשר להתאים לבעיה ולמקום שבו היא מתרחשת. מחקר הירי, לעומת זאת, מתאר קשיים אחרים: קושי למקם את האירועים במרחב, והצורך להתאים את ההתערבות לסוגים שונים של סכסוכים ולדפוסי ירי שונים.</w:t>
      </w:r>
      <w:r>
        <w:rPr>
          <w:rStyle w:val="FootnoteReference"/>
        </w:rPr>
        <w:footnoteReference w:id="116"/>
      </w:r>
      <w:r>
        <w:rPr>
          <w:rFonts w:ascii="Times New Roman" w:cs="David" w:eastAsia="David" w:hAnsi="Times New Roman"/>
          <w:sz w:val="24"/>
          <w:szCs w:val="24"/>
          <w:rtl/>
        </w:rPr>
        <w:t xml:space="preserve"> ההשוואה בין הסלים מסייעת לזהות תנאים שעשויים להשפיע על הצלחת המודל, גם אם היא אינה מבודדת את השפעתו של כל תנאי.</w:t>
      </w:r>
    </w:p>
    <w:p>
      <w:pPr>
        <w:bidi/>
        <w:spacing w:after="120" w:line="360"/>
        <w:ind w:firstLine="0"/>
        <w:jc w:val="both"/>
      </w:pPr>
      <w:r>
        <w:rPr>
          <w:rFonts w:ascii="Times New Roman" w:cs="David" w:eastAsia="David" w:hAnsi="Times New Roman"/>
          <w:sz w:val="24"/>
          <w:szCs w:val="24"/>
          <w:rtl/>
        </w:rPr>
        <w:t xml:space="preserve">חשוב גם לומר מה הממצא בסל הרכוש אינו מלמד. הוא אינו מספר דבר על איכות המפגשים שהתקיימו בפוליגון, על התפלגותם בין קבוצות אוכלוסייה או על השפעתם על אמון התושבים. המדדים שתוארו כוללים נתוני פשיעה ונתוני ביצוע של תוכניות, ואינם כוללים מדד ישיר של הוגנות המפגש.</w:t>
      </w:r>
      <w:r>
        <w:rPr>
          <w:rStyle w:val="FootnoteReference"/>
        </w:rPr>
        <w:footnoteReference w:id="117"/>
      </w:r>
    </w:p>
    <w:p>
      <w:pPr>
        <w:pStyle w:val="Heading2"/>
        <w:bidi/>
        <w:spacing w:after="160" w:before="240"/>
        <w:jc w:val="right"/>
      </w:pPr>
      <w:r>
        <w:rPr>
          <w:rFonts w:ascii="Times New Roman" w:cs="David" w:eastAsia="David" w:hAnsi="Times New Roman"/>
          <w:b/>
          <w:bCs/>
          <w:sz w:val="28"/>
          <w:szCs w:val="28"/>
          <w:rtl/>
        </w:rPr>
        <w:t xml:space="preserve">5.2 תוצאות הרפורמה בעבירות אלימות וירי</w:t>
      </w:r>
    </w:p>
    <w:p>
      <w:pPr>
        <w:bidi/>
        <w:spacing w:after="120" w:line="360"/>
        <w:ind w:firstLine="0"/>
        <w:jc w:val="both"/>
      </w:pPr>
      <w:r>
        <w:rPr>
          <w:rFonts w:ascii="Times New Roman" w:cs="David" w:eastAsia="David" w:hAnsi="Times New Roman"/>
          <w:sz w:val="24"/>
          <w:szCs w:val="24"/>
          <w:rtl/>
        </w:rPr>
        <w:t xml:space="preserve">בסל האלימות התקבלה תמונה הפוכה. בתוך הפוליגון נצפתה ירידה באירועי האלימות בתחנות ההתערבות בהשוואה לתחנות הביקורת, אך ההבדלים לא היו מובהקים. מחוץ לפוליגון נצפתה ברוב ההשוואות עלייה באירועי האלימות בתחנות ההתערבות, ובשתי השוואות העלייה הייתה מובהקת.</w:t>
      </w:r>
      <w:r>
        <w:rPr>
          <w:rStyle w:val="FootnoteReference"/>
        </w:rPr>
        <w:footnoteReference w:id="118"/>
      </w:r>
      <w:r>
        <w:rPr>
          <w:rFonts w:ascii="Times New Roman" w:cs="David" w:eastAsia="David" w:hAnsi="Times New Roman"/>
          <w:sz w:val="24"/>
          <w:szCs w:val="24"/>
          <w:rtl/>
        </w:rPr>
        <w:t xml:space="preserve"> זה הממצא המדאיג ביותר בסדרת ההערכה כולה, משום שהוא מצביע על אפשרות שדרך העבודה גרמה נזק בתחנות שבחרו להתמקד באלימות.</w:t>
      </w:r>
    </w:p>
    <w:p>
      <w:pPr>
        <w:bidi/>
        <w:spacing w:after="120" w:line="360"/>
        <w:ind w:firstLine="0"/>
        <w:jc w:val="both"/>
      </w:pPr>
      <w:r>
        <w:rPr>
          <w:rFonts w:ascii="Times New Roman" w:cs="David" w:eastAsia="David" w:hAnsi="Times New Roman"/>
          <w:sz w:val="24"/>
          <w:szCs w:val="24"/>
          <w:rtl/>
        </w:rPr>
        <w:t xml:space="preserve">החוקרים הציעו שני הסברים אפשריים: התקה של עבירות האלימות אל מחוץ לפוליגון, או פגיעה בטיפול בעבירות האלימות בשאר שטח התחנה בגלל הסטת המשאבים לפוליגון.</w:t>
      </w:r>
      <w:r>
        <w:rPr>
          <w:rStyle w:val="FootnoteReference"/>
        </w:rPr>
        <w:footnoteReference w:id="119"/>
      </w:r>
      <w:r>
        <w:rPr>
          <w:rFonts w:ascii="Times New Roman" w:cs="David" w:eastAsia="David" w:hAnsi="Times New Roman"/>
          <w:sz w:val="24"/>
          <w:szCs w:val="24"/>
          <w:rtl/>
        </w:rPr>
        <w:t xml:space="preserve"> את הסיבה העיקרית הם ייחסו ליישום חלקי, שאינו מבחין בין סוגי האלימות השונים, ולהגדרה רחבה מדי של הסל, שאינה מאפשרת טיפול עמוק בבעיות מוגדרות.</w:t>
      </w:r>
      <w:r>
        <w:rPr>
          <w:rStyle w:val="FootnoteReference"/>
        </w:rPr>
        <w:footnoteReference w:id="120"/>
      </w:r>
      <w:r>
        <w:rPr>
          <w:rFonts w:ascii="Times New Roman" w:cs="David" w:eastAsia="David" w:hAnsi="Times New Roman"/>
          <w:sz w:val="24"/>
          <w:szCs w:val="24"/>
          <w:rtl/>
        </w:rPr>
        <w:t xml:space="preserve"> כדי להגיע למספר אירועים שמאפשר מדידה משמעותית, התחנות צירפו יחד סוגים שונים של אלימות, והתוצאה הייתה תוכניות שלא מיצו את הטיפול באף אחת מן הבעיות.</w:t>
      </w:r>
      <w:r>
        <w:rPr>
          <w:rStyle w:val="FootnoteReference"/>
        </w:rPr>
        <w:footnoteReference w:id="121"/>
      </w:r>
    </w:p>
    <w:p>
      <w:pPr>
        <w:bidi/>
        <w:spacing w:after="120" w:line="360"/>
        <w:ind w:firstLine="0"/>
        <w:jc w:val="both"/>
      </w:pPr>
      <w:r>
        <w:rPr>
          <w:rFonts w:ascii="Times New Roman" w:cs="David" w:eastAsia="David" w:hAnsi="Times New Roman"/>
          <w:sz w:val="24"/>
          <w:szCs w:val="24"/>
          <w:rtl/>
        </w:rPr>
        <w:t xml:space="preserve">בסל הירי נבחר מערך מחקר שונה. במקום מחקר השפעה כמותי נערך מחקר תהליך איכותני בארבע תחנות שבחרו להתמקד בירי בשנת 2017, רובן תחנות שמשרתות אוכלוסייה ערבית, ונבחנו בו איכות היישום והנאמנות למודל.</w:t>
      </w:r>
      <w:r>
        <w:rPr>
          <w:rStyle w:val="FootnoteReference"/>
        </w:rPr>
        <w:footnoteReference w:id="122"/>
      </w:r>
      <w:r>
        <w:rPr>
          <w:rFonts w:ascii="Times New Roman" w:cs="David" w:eastAsia="David" w:hAnsi="Times New Roman"/>
          <w:sz w:val="24"/>
          <w:szCs w:val="24"/>
          <w:rtl/>
        </w:rPr>
        <w:t xml:space="preserve"> הבחירה במערך הזה לא נבעה מהעדפה מתודולוגית אלא מקושי מובנה: לפי הדוח, מערכות המדידה באותה תקופה לא אפשרו למקם אירועים בנקודות גיאוגרפיות ביישובים ערביים, ולכן רכיב המיקוד המרחבי של המודל לא יושם ברוב התחנות.</w:t>
      </w:r>
      <w:r>
        <w:rPr>
          <w:rStyle w:val="FootnoteReference"/>
        </w:rPr>
        <w:footnoteReference w:id="123"/>
      </w:r>
    </w:p>
    <w:p>
      <w:pPr>
        <w:bidi/>
        <w:spacing w:after="120" w:line="360"/>
        <w:ind w:firstLine="0"/>
        <w:jc w:val="both"/>
      </w:pPr>
      <w:r>
        <w:rPr>
          <w:rFonts w:ascii="Times New Roman" w:cs="David" w:eastAsia="David" w:hAnsi="Times New Roman"/>
          <w:sz w:val="24"/>
          <w:szCs w:val="24"/>
          <w:rtl/>
        </w:rPr>
        <w:t xml:space="preserve">ניתוח תוכניות התקיפה הראה פער בין ההיגיון המוצהר לבין התוכן. בכל התחנות נמצאו רכיבים של שיטור ממוקד אנשים ושל הרתעה ממוקדת, אך לא נמצאה תוכנית פעולה שכוללת את כל הרכיבים הדרושים לשינוי.</w:t>
      </w:r>
      <w:r>
        <w:rPr>
          <w:rStyle w:val="FootnoteReference"/>
        </w:rPr>
        <w:footnoteReference w:id="124"/>
      </w:r>
      <w:r>
        <w:rPr>
          <w:rFonts w:ascii="Times New Roman" w:cs="David" w:eastAsia="David" w:hAnsi="Times New Roman"/>
          <w:sz w:val="24"/>
          <w:szCs w:val="24"/>
          <w:rtl/>
        </w:rPr>
        <w:t xml:space="preserve"> לא נמצאה התייחסות למפגשים עם עבריינים, שבהם אמורים להעביר מסר אמין והוגן על הסנקציות הצפויות, ולא נמצאו רכיבים שיקומיים שמציעים לעבריינים דרך אחרת.</w:t>
      </w:r>
      <w:r>
        <w:rPr>
          <w:rStyle w:val="FootnoteReference"/>
        </w:rPr>
        <w:footnoteReference w:id="125"/>
      </w:r>
      <w:r>
        <w:rPr>
          <w:rFonts w:ascii="Times New Roman" w:cs="David" w:eastAsia="David" w:hAnsi="Times New Roman"/>
          <w:sz w:val="24"/>
          <w:szCs w:val="24"/>
          <w:rtl/>
        </w:rPr>
        <w:t xml:space="preserve"> ההרתעה הממוקדת נמצאה יעילה כחבילה שבה הרכיבים פועלים יחד,</w:t>
      </w:r>
      <w:r>
        <w:rPr>
          <w:rStyle w:val="FootnoteReference"/>
        </w:rPr>
        <w:footnoteReference w:id="126"/>
      </w:r>
      <w:r>
        <w:rPr>
          <w:rFonts w:ascii="Times New Roman" w:cs="David" w:eastAsia="David" w:hAnsi="Times New Roman"/>
          <w:sz w:val="24"/>
          <w:szCs w:val="24"/>
          <w:rtl/>
        </w:rPr>
        <w:t xml:space="preserve"> ולכן אין להניח שהפעלה של חלק מהם תביא לאותן תוצאות.</w:t>
      </w:r>
    </w:p>
    <w:p>
      <w:pPr>
        <w:bidi/>
        <w:spacing w:after="120" w:line="360"/>
        <w:ind w:firstLine="0"/>
        <w:jc w:val="both"/>
      </w:pPr>
      <w:r>
        <w:rPr>
          <w:rFonts w:ascii="Times New Roman" w:cs="David" w:eastAsia="David" w:hAnsi="Times New Roman"/>
          <w:sz w:val="24"/>
          <w:szCs w:val="24"/>
          <w:rtl/>
        </w:rPr>
        <w:t xml:space="preserve">גם רכיב הקהילה יושם חלקית. שלושת המרכיבים שנבדקו, שיתוף הקהילה בהגדרת הבעיה, מנגנונים לשיתוף ידע והוגנות ברמת המאקרו, יושמו באופן חלקי בשתיים מן התחנות בלבד, וגם בהן נותר מקום לשיפור.</w:t>
      </w:r>
      <w:r>
        <w:rPr>
          <w:rStyle w:val="FootnoteReference"/>
        </w:rPr>
        <w:footnoteReference w:id="127"/>
      </w:r>
      <w:r>
        <w:rPr>
          <w:rFonts w:ascii="Times New Roman" w:cs="David" w:eastAsia="David" w:hAnsi="Times New Roman"/>
          <w:sz w:val="24"/>
          <w:szCs w:val="24"/>
          <w:rtl/>
        </w:rPr>
        <w:t xml:space="preserve"> לצד זאת נמצאו גם הישגים. בתחנה שהשקיעה מאמץ רב במיקוד גיאוגרפי בארבע שכונות נרשמה ירידה משמעותית באירועי הירי בפוליגון ואף בשאר העיר, אחרי תקופה של עלייה חדה. אבל בתחנה אחרת הושגו היעדים המספריים דווקא בלי הגדרת פוליגון.</w:t>
      </w:r>
      <w:r>
        <w:rPr>
          <w:rStyle w:val="FootnoteReference"/>
        </w:rPr>
        <w:footnoteReference w:id="128"/>
      </w:r>
      <w:r>
        <w:rPr>
          <w:rFonts w:ascii="Times New Roman" w:cs="David" w:eastAsia="David" w:hAnsi="Times New Roman"/>
          <w:sz w:val="24"/>
          <w:szCs w:val="24"/>
          <w:rtl/>
        </w:rPr>
        <w:t xml:space="preserve"> לכן אין לייחס את כל השינויים לרכיב הגיאוגרפי. מדובר בתיאור של תהליך ושל תוצאות מקומיות, ולא בניסוי שמבודד את תרומתו של רכיב מסוים.</w:t>
      </w:r>
    </w:p>
    <w:p>
      <w:pPr>
        <w:bidi/>
        <w:spacing w:after="120" w:line="360"/>
        <w:ind w:firstLine="0"/>
        <w:jc w:val="both"/>
      </w:pPr>
      <w:r>
        <w:rPr>
          <w:rFonts w:ascii="Times New Roman" w:cs="David" w:eastAsia="David" w:hAnsi="Times New Roman"/>
          <w:sz w:val="24"/>
          <w:szCs w:val="24"/>
          <w:rtl/>
        </w:rPr>
        <w:t xml:space="preserve">בשני הסלים יש הבדלים ניכרים בין תחנות ובין סוגי בעיות. במקומות מסוימים נרשמה ירידה בפשיעה, ובאחרים לא נמצא שיפור מובהק או שעלה חשש לפגיעה באזורים שמחוץ למוקד. התמונה הזו אינה מצדיקה קביעה גורפת שהמודל נכשל בישראל, אבל גם אינה מוכיחה שהוא מתאים לכל בעיה. היא מחייבת לבחון יחד את איכות הניתוח, את המשאבים, את בחירת הכלים ואת סוג העבירה.</w:t>
      </w:r>
    </w:p>
    <w:p>
      <w:pPr>
        <w:bidi/>
        <w:spacing w:after="120" w:line="360"/>
        <w:ind w:firstLine="0"/>
        <w:jc w:val="both"/>
      </w:pPr>
      <w:r>
        <w:rPr>
          <w:rFonts w:ascii="Times New Roman" w:cs="David" w:eastAsia="David" w:hAnsi="Times New Roman"/>
          <w:sz w:val="24"/>
          <w:szCs w:val="24"/>
          <w:rtl/>
        </w:rPr>
        <w:t xml:space="preserve">ההבדל בין מערכי המחקר חשוב לא פחות. בסל הרכוש נבדק האפקט בהשוואה לתחנות ביקורת, ואילו בסל הירי נבדק התהליך בניתוח איכותני.</w:t>
      </w:r>
      <w:r>
        <w:rPr>
          <w:rStyle w:val="FootnoteReference"/>
        </w:rPr>
        <w:footnoteReference w:id="129"/>
      </w:r>
      <w:r>
        <w:rPr>
          <w:rFonts w:ascii="Times New Roman" w:cs="David" w:eastAsia="David" w:hAnsi="Times New Roman"/>
          <w:sz w:val="24"/>
          <w:szCs w:val="24"/>
          <w:rtl/>
        </w:rPr>
        <w:t xml:space="preserve"> המשמעות היא שהשאלה אם הרפורמה הפחיתה עבירות ירי לא נבדקה במערך כמותי שמאפשר לאמוד השפעה סיבתית. אי אפשר לומר שהרפורמה נכשלה בתחום הזה. אפשר לומר דבר מדויק יותר: היא לא יושמה במלואה, ותשתית המידע ומערך המחקר מגבילים את היכולת להעריך את השפעתה.</w:t>
      </w:r>
    </w:p>
    <w:p>
      <w:pPr>
        <w:pStyle w:val="Heading2"/>
        <w:bidi/>
        <w:spacing w:after="160" w:before="240"/>
        <w:jc w:val="right"/>
      </w:pPr>
      <w:r>
        <w:rPr>
          <w:rFonts w:ascii="Times New Roman" w:cs="David" w:eastAsia="David" w:hAnsi="Times New Roman"/>
          <w:b/>
          <w:bCs/>
          <w:sz w:val="28"/>
          <w:szCs w:val="28"/>
          <w:rtl/>
        </w:rPr>
        <w:t xml:space="preserve">5.3 הטמעת הרפורמה, משאבים ותפקוד התחנות</w:t>
      </w:r>
    </w:p>
    <w:p>
      <w:pPr>
        <w:bidi/>
        <w:spacing w:after="120" w:line="360"/>
        <w:ind w:firstLine="0"/>
        <w:jc w:val="both"/>
      </w:pPr>
      <w:r>
        <w:rPr>
          <w:rFonts w:ascii="Times New Roman" w:cs="David" w:eastAsia="David" w:hAnsi="Times New Roman"/>
          <w:sz w:val="24"/>
          <w:szCs w:val="24"/>
          <w:rtl/>
        </w:rPr>
        <w:t xml:space="preserve">מבחינה ארגונית, הרפורמה השיגה הישג של ממש. נוצר במשטרה אקלים של פתרון בעיות מבוסס נתונים, שמפקדים ושוטרים נחשפו אליו, וההטמעה כללה מערכת לניתוח פשיעה, שינוי בתכנון ובניהול האסטרטגי, שיתוף של הציבור ושל הרשויות, ושיטה חדשה להערכת ביצועים ששינתה את התמריצים ואת הקידום בארגון.</w:t>
      </w:r>
      <w:r>
        <w:rPr>
          <w:rStyle w:val="FootnoteReference"/>
        </w:rPr>
        <w:footnoteReference w:id="130"/>
      </w:r>
      <w:r>
        <w:rPr>
          <w:rFonts w:ascii="Times New Roman" w:cs="David" w:eastAsia="David" w:hAnsi="Times New Roman"/>
          <w:sz w:val="24"/>
          <w:szCs w:val="24"/>
          <w:rtl/>
        </w:rPr>
        <w:t xml:space="preserve"> השינוי בתמריצים הוא אולי הרכיב החשוב ביותר, משום שהוא מבדיל בין רפורמה מוצהרת לבין רפורמה שמשנה התנהגות.</w:t>
      </w:r>
    </w:p>
    <w:p>
      <w:pPr>
        <w:bidi/>
        <w:spacing w:after="120" w:line="360"/>
        <w:ind w:firstLine="0"/>
        <w:jc w:val="both"/>
      </w:pPr>
      <w:r>
        <w:rPr>
          <w:rFonts w:ascii="Times New Roman" w:cs="David" w:eastAsia="David" w:hAnsi="Times New Roman"/>
          <w:sz w:val="24"/>
          <w:szCs w:val="24"/>
          <w:rtl/>
        </w:rPr>
        <w:t xml:space="preserve">מנגד, נמצאו סטיות מן העקרונות. במקרים מסוימים הוגדרו הבעיות באופן רחב ולא ספציפי. תחנות צירפו סוגים שונים של עבירות רכוש כדי להגיע לרף המינימלי של מספר העבירות, ובמקרים קיצוניים הוגדר יישוב שלם כפוליגון, אף שהבעיה הייתה מרוכזת באזור קטן ממנו.</w:t>
      </w:r>
      <w:r>
        <w:rPr>
          <w:rStyle w:val="FootnoteReference"/>
        </w:rPr>
        <w:footnoteReference w:id="131"/>
      </w:r>
      <w:r>
        <w:rPr>
          <w:rFonts w:ascii="Times New Roman" w:cs="David" w:eastAsia="David" w:hAnsi="Times New Roman"/>
          <w:sz w:val="24"/>
          <w:szCs w:val="24"/>
          <w:rtl/>
        </w:rPr>
        <w:t xml:space="preserve"> הדוגמאות מראות שדרישת הסף המספרית עשויה לעודד הרחבה של הבעיה ושל שטח הפעילות. לכן יש לבחון את השפעת כלי הניהול לצד החלטות המפקדים, ולא לייחס את כל הסטיות לגורם אחד.</w:t>
      </w:r>
    </w:p>
    <w:p>
      <w:pPr>
        <w:bidi/>
        <w:spacing w:after="120" w:line="360"/>
        <w:ind w:firstLine="0"/>
        <w:jc w:val="both"/>
      </w:pPr>
      <w:r>
        <w:rPr>
          <w:rFonts w:ascii="Times New Roman" w:cs="David" w:eastAsia="David" w:hAnsi="Times New Roman"/>
          <w:sz w:val="24"/>
          <w:szCs w:val="24"/>
          <w:rtl/>
        </w:rPr>
        <w:t xml:space="preserve">המחסור במשאבים המשיך להקשות על היישום. בתחנות שטיפלו בירי דווח שאף שהמשאבים גדלו במידה ניכרת, הגישה למשאבים חומריים ולכוח אדם נותרה קשה ואינה תואמת את היקף הבעיה ואת חומרתה.</w:t>
      </w:r>
      <w:r>
        <w:rPr>
          <w:rStyle w:val="FootnoteReference"/>
        </w:rPr>
        <w:footnoteReference w:id="132"/>
      </w:r>
      <w:r>
        <w:rPr>
          <w:rFonts w:ascii="Times New Roman" w:cs="David" w:eastAsia="David" w:hAnsi="Times New Roman"/>
          <w:sz w:val="24"/>
          <w:szCs w:val="24"/>
          <w:rtl/>
        </w:rPr>
        <w:t xml:space="preserve"> עוד דווח שהמחסור בכוח אדם פוגע ביכולות המודיעין ויוצר שחיקה, שעלולה לפגוע במקצועיות התחנה ובבניית האמון עם הקהילות.</w:t>
      </w:r>
      <w:r>
        <w:rPr>
          <w:rStyle w:val="FootnoteReference"/>
        </w:rPr>
        <w:footnoteReference w:id="133"/>
      </w:r>
      <w:r>
        <w:rPr>
          <w:rFonts w:ascii="Times New Roman" w:cs="David" w:eastAsia="David" w:hAnsi="Times New Roman"/>
          <w:sz w:val="24"/>
          <w:szCs w:val="24"/>
          <w:rtl/>
        </w:rPr>
        <w:t xml:space="preserve"> הקשר בין מחסור בכוח אדם לבין פגיעה באמון מראה איך מגבלה תקציבית הופכת לפגיעה בממד השלישי של האפקטיביות.</w:t>
      </w:r>
    </w:p>
    <w:p>
      <w:pPr>
        <w:bidi/>
        <w:spacing w:after="120" w:line="360"/>
        <w:ind w:firstLine="0"/>
        <w:jc w:val="both"/>
      </w:pPr>
      <w:r>
        <w:rPr>
          <w:rFonts w:ascii="Times New Roman" w:cs="David" w:eastAsia="David" w:hAnsi="Times New Roman"/>
          <w:sz w:val="24"/>
          <w:szCs w:val="24"/>
          <w:rtl/>
        </w:rPr>
        <w:t xml:space="preserve">התמונה תואמת את ממצאי מבקר המדינה, שלפיהם עומס העבודה על משרדי החקירות והמודיעין בתחנות שמשרתות בעיקר אוכלוסייה ערבית אינו בא לידי ביטוי בתקני כוח האדם שלהן.</w:t>
      </w:r>
      <w:r>
        <w:rPr>
          <w:rStyle w:val="FootnoteReference"/>
        </w:rPr>
        <w:footnoteReference w:id="134"/>
      </w:r>
      <w:r>
        <w:rPr>
          <w:rFonts w:ascii="Times New Roman" w:cs="David" w:eastAsia="David" w:hAnsi="Times New Roman"/>
          <w:sz w:val="24"/>
          <w:szCs w:val="24"/>
          <w:rtl/>
        </w:rPr>
        <w:t xml:space="preserve"> מחקר הערכה אקדמי וביקורת מדינה הגיעו אפוא לאותה מסקנה מנקודות מוצא שונות. כששני מנגנוני בדיקה עצמאיים מצביעים על אותו כשל, קשה לייחס אותו לשונות מקומית או לאיכות הפיקוד בתחנה מסוימת.</w:t>
      </w:r>
    </w:p>
    <w:p>
      <w:pPr>
        <w:bidi/>
        <w:spacing w:after="120" w:line="360"/>
        <w:ind w:firstLine="0"/>
        <w:jc w:val="both"/>
      </w:pPr>
      <w:r>
        <w:rPr>
          <w:rFonts w:ascii="Times New Roman" w:cs="David" w:eastAsia="David" w:hAnsi="Times New Roman"/>
          <w:sz w:val="24"/>
          <w:szCs w:val="24"/>
          <w:rtl/>
        </w:rPr>
        <w:t xml:space="preserve">היעדר היכולת למקם אירועים ביישובים ערביים אינו כשל של מפקד תחנה, אלא של תשתית ארצית.</w:t>
      </w:r>
      <w:r>
        <w:rPr>
          <w:rStyle w:val="FootnoteReference"/>
        </w:rPr>
        <w:footnoteReference w:id="135"/>
      </w:r>
      <w:r>
        <w:rPr>
          <w:rFonts w:ascii="Times New Roman" w:cs="David" w:eastAsia="David" w:hAnsi="Times New Roman"/>
          <w:sz w:val="24"/>
          <w:szCs w:val="24"/>
          <w:rtl/>
        </w:rPr>
        <w:t xml:space="preserve"> החוקרים ציינו שהמחקר מספק בסיס חזק לשיטור נקודות חמות גם בתחום הירי, ושראוי להרחיב את השימוש בו.</w:t>
      </w:r>
      <w:r>
        <w:rPr>
          <w:rStyle w:val="FootnoteReference"/>
        </w:rPr>
        <w:footnoteReference w:id="136"/>
      </w:r>
      <w:r>
        <w:rPr>
          <w:rFonts w:ascii="Times New Roman" w:cs="David" w:eastAsia="David" w:hAnsi="Times New Roman"/>
          <w:sz w:val="24"/>
          <w:szCs w:val="24"/>
          <w:rtl/>
        </w:rPr>
        <w:t xml:space="preserve"> כלומר, אחד המכשולים המרכזיים הוא הצורך בהשקעה ארגונית בתשתית, שתאפשר שימוש בכלי מידע גיאוגרפיים גם בתחנות שמשרתות את החברה הערבית.</w:t>
      </w:r>
    </w:p>
    <w:p>
      <w:pPr>
        <w:bidi/>
        <w:spacing w:after="120" w:line="360"/>
        <w:ind w:firstLine="0"/>
        <w:jc w:val="both"/>
      </w:pPr>
      <w:r>
        <w:rPr>
          <w:rFonts w:ascii="Times New Roman" w:cs="David" w:eastAsia="David" w:hAnsi="Times New Roman"/>
          <w:sz w:val="24"/>
          <w:szCs w:val="24"/>
          <w:rtl/>
        </w:rPr>
        <w:t xml:space="preserve">לתמונת ההטמעה יש גם צד חיובי שאין להתעלם ממנו. עצם קיומו של מנגנון שמחייב תחנה להסביר פער בין תוכנית לבין תוצאה, ולבדוק אם הכשל בתוכנית עצמה או בביצועה, הוא כלי ניהולי חשוב.</w:t>
      </w:r>
      <w:r>
        <w:rPr>
          <w:rStyle w:val="FootnoteReference"/>
        </w:rPr>
        <w:footnoteReference w:id="137"/>
      </w:r>
      <w:r>
        <w:rPr>
          <w:rFonts w:ascii="Times New Roman" w:cs="David" w:eastAsia="David" w:hAnsi="Times New Roman"/>
          <w:sz w:val="24"/>
          <w:szCs w:val="24"/>
          <w:rtl/>
        </w:rPr>
        <w:t xml:space="preserve"> הבעיה אינה היעדר מנגנון, אלא שהמנגנון מכוון לשאלות של ביצוע ולא לשאלות של הוגנות. הרחבתו לשאלות מן הסוג השני יכולה להישען על המערכת הקיימת, בכפוף להתאמות הנדרשות, וההצעה תידון בפרק 7.</w:t>
      </w:r>
    </w:p>
    <w:p>
      <w:pPr>
        <w:pStyle w:val="Heading2"/>
        <w:bidi/>
        <w:spacing w:after="160" w:before="240"/>
        <w:jc w:val="right"/>
      </w:pPr>
      <w:r>
        <w:rPr>
          <w:rFonts w:ascii="Times New Roman" w:cs="David" w:eastAsia="David" w:hAnsi="Times New Roman"/>
          <w:b/>
          <w:bCs/>
          <w:sz w:val="28"/>
          <w:szCs w:val="28"/>
          <w:rtl/>
        </w:rPr>
        <w:t xml:space="preserve">5.4 עמדות הציבור ומגבלות מחקרי ההערכה</w:t>
      </w:r>
    </w:p>
    <w:p>
      <w:pPr>
        <w:bidi/>
        <w:spacing w:after="120" w:line="360"/>
        <w:ind w:firstLine="0"/>
        <w:jc w:val="both"/>
      </w:pPr>
      <w:r>
        <w:rPr>
          <w:rFonts w:ascii="Times New Roman" w:cs="David" w:eastAsia="David" w:hAnsi="Times New Roman"/>
          <w:sz w:val="24"/>
          <w:szCs w:val="24"/>
          <w:rtl/>
        </w:rPr>
        <w:t xml:space="preserve">הדוח שבחן את עמדות הציבור עוסק בקשר בין ביצועי התחנה לבין הלגיטימיות שלה. ניתוח רב-רמתי של סקרי דעת קהל גדולים מצא שלציוני התחנה בתוכנית אמו"ן ולציוני סקר השירות יש קשר חיובי מובהק עם רמת האמון של התושבים בגזרתה.</w:t>
      </w:r>
      <w:r>
        <w:rPr>
          <w:rStyle w:val="FootnoteReference"/>
        </w:rPr>
        <w:footnoteReference w:id="138"/>
      </w:r>
      <w:r>
        <w:rPr>
          <w:rFonts w:ascii="Times New Roman" w:cs="David" w:eastAsia="David" w:hAnsi="Times New Roman"/>
          <w:sz w:val="24"/>
          <w:szCs w:val="24"/>
          <w:rtl/>
        </w:rPr>
        <w:t xml:space="preserve"> הממצא תומך בהנחת היסוד של הרפורמה, שלפיה תפקוד התחנה קשור ליחס הציבור אליה. עם זאת, זהו ניתוח מתאמי, ולכן הוא אינו מוכיח את כיוון ההשפעה.</w:t>
      </w:r>
    </w:p>
    <w:p>
      <w:pPr>
        <w:bidi/>
        <w:spacing w:after="120" w:line="360"/>
        <w:ind w:firstLine="0"/>
        <w:jc w:val="both"/>
      </w:pPr>
      <w:r>
        <w:rPr>
          <w:rFonts w:ascii="Times New Roman" w:cs="David" w:eastAsia="David" w:hAnsi="Times New Roman"/>
          <w:sz w:val="24"/>
          <w:szCs w:val="24"/>
          <w:rtl/>
        </w:rPr>
        <w:t xml:space="preserve">עוד נמצא שהקשר בין הוגנות ההליכים לבין אמון חזק מן הקשר בין הערכת הביצועים לבין אמון, ושהממצא עקבי גם בקרב אוכלוסיות שיחסיהן עם המשטרה מתוחים.</w:t>
      </w:r>
      <w:r>
        <w:rPr>
          <w:rStyle w:val="FootnoteReference"/>
        </w:rPr>
        <w:footnoteReference w:id="139"/>
      </w:r>
      <w:r>
        <w:rPr>
          <w:rFonts w:ascii="Times New Roman" w:cs="David" w:eastAsia="David" w:hAnsi="Times New Roman"/>
          <w:sz w:val="24"/>
          <w:szCs w:val="24"/>
          <w:rtl/>
        </w:rPr>
        <w:t xml:space="preserve"> הממצא מתיישב עם עבודתם של סאנשיין וטיילר,</w:t>
      </w:r>
      <w:r>
        <w:rPr>
          <w:rStyle w:val="FootnoteReference"/>
        </w:rPr>
        <w:footnoteReference w:id="140"/>
      </w:r>
      <w:r>
        <w:rPr>
          <w:rFonts w:ascii="Times New Roman" w:cs="David" w:eastAsia="David" w:hAnsi="Times New Roman"/>
          <w:sz w:val="24"/>
          <w:szCs w:val="24"/>
          <w:rtl/>
        </w:rPr>
        <w:t xml:space="preserve"> אך בהקשר של רפורמה יש לו משמעות מעשית: אם הוגנות קשורה לאמון יותר מביצועים, יש לכלול אותה בהערכת הרפורמה לצד הביצועים.</w:t>
      </w:r>
    </w:p>
    <w:p>
      <w:pPr>
        <w:bidi/>
        <w:spacing w:after="120" w:line="360"/>
        <w:ind w:firstLine="0"/>
        <w:jc w:val="both"/>
      </w:pPr>
      <w:r>
        <w:rPr>
          <w:rFonts w:ascii="Times New Roman" w:cs="David" w:eastAsia="David" w:hAnsi="Times New Roman"/>
          <w:sz w:val="24"/>
          <w:szCs w:val="24"/>
          <w:rtl/>
        </w:rPr>
        <w:t xml:space="preserve">שני ממצאים נוספים חשובים לענייננו. ראשית, בתחנות שמשרתות אוכלוסייה ערבית נמצא אמון נמוך יותר גם לאחר פיקוח סטטיסטי על שאר המשתנים.</w:t>
      </w:r>
      <w:r>
        <w:rPr>
          <w:rStyle w:val="FootnoteReference"/>
        </w:rPr>
        <w:footnoteReference w:id="141"/>
      </w:r>
      <w:r>
        <w:rPr>
          <w:rFonts w:ascii="Times New Roman" w:cs="David" w:eastAsia="David" w:hAnsi="Times New Roman"/>
          <w:sz w:val="24"/>
          <w:szCs w:val="24"/>
          <w:rtl/>
        </w:rPr>
        <w:t xml:space="preserve"> שנית, בקרב משיבים ערבים לא נמצא קשר ישיר בין הערכת הטיפול של המשטרה בעבירות איכות חיים, כמו רעש ובריונות, לבין הנכונות לשתף פעולה ולבין תחושת הביטחון.</w:t>
      </w:r>
      <w:r>
        <w:rPr>
          <w:rStyle w:val="FootnoteReference"/>
        </w:rPr>
        <w:footnoteReference w:id="142"/>
      </w:r>
      <w:r>
        <w:rPr>
          <w:rFonts w:ascii="Times New Roman" w:cs="David" w:eastAsia="David" w:hAnsi="Times New Roman"/>
          <w:sz w:val="24"/>
          <w:szCs w:val="24"/>
          <w:rtl/>
        </w:rPr>
        <w:t xml:space="preserve"> לצד זאת נמצא קשר חיובי בין הערכת הביצועים לבין אמון. לכן אין להסיק שהמסלול מביצועים לאמון אינו פועל בחברה הערבית. הממצא מלמד על הבדלים בקשרים שנבדקו, ועל הצורך לבחון בנפרד את סוג העבירה ואת התוצאה המבוקשת.</w:t>
      </w:r>
    </w:p>
    <w:p>
      <w:pPr>
        <w:bidi/>
        <w:spacing w:after="120" w:line="360"/>
        <w:ind w:firstLine="0"/>
        <w:jc w:val="both"/>
      </w:pPr>
      <w:r>
        <w:rPr>
          <w:rFonts w:ascii="Times New Roman" w:cs="David" w:eastAsia="David" w:hAnsi="Times New Roman"/>
          <w:sz w:val="24"/>
          <w:szCs w:val="24"/>
          <w:rtl/>
        </w:rPr>
        <w:t xml:space="preserve">החוקרים עצמם הדגישו שמדובר בניתוח מתאמי, שיכולתו להצביע על קשר סיבתי מוגבלת.</w:t>
      </w:r>
      <w:r>
        <w:rPr>
          <w:rStyle w:val="FootnoteReference"/>
        </w:rPr>
        <w:footnoteReference w:id="143"/>
      </w:r>
      <w:r>
        <w:rPr>
          <w:rFonts w:ascii="Times New Roman" w:cs="David" w:eastAsia="David" w:hAnsi="Times New Roman"/>
          <w:sz w:val="24"/>
          <w:szCs w:val="24"/>
          <w:rtl/>
        </w:rPr>
        <w:t xml:space="preserve"> הסתייגות דומה נדרשת לגבי סדרת ההערכה כולה. מחקרי הרכוש והאלימות נשענו על מערכים מעין-ניסויים, בלי הקצאה אקראית של תחנות לקבוצות. לכן קשה לשלול הסברים חלופיים, וייתכן שחלק מן הממצאים נובעים ממאפיינים של התחנות שנבחרו או מבחירה לא מוצלחת של תחנות הביקורת.</w:t>
      </w:r>
      <w:r>
        <w:rPr>
          <w:rStyle w:val="FootnoteReference"/>
        </w:rPr>
        <w:footnoteReference w:id="144"/>
      </w:r>
    </w:p>
    <w:p>
      <w:pPr>
        <w:bidi/>
        <w:spacing w:after="120" w:line="360"/>
        <w:ind w:firstLine="0"/>
        <w:jc w:val="both"/>
      </w:pPr>
      <w:r>
        <w:rPr>
          <w:rFonts w:ascii="Times New Roman" w:cs="David" w:eastAsia="David" w:hAnsi="Times New Roman"/>
          <w:sz w:val="24"/>
          <w:szCs w:val="24"/>
          <w:rtl/>
        </w:rPr>
        <w:t xml:space="preserve">לכך מצטרפת בעיה מושגית. בתחום הירי עולה השאלה אם מספר האירועים הוא בכלל המדד הנכון. כשהדיווח נמוך והזירות משובשות באופן שמונע בניית תיק, ייתכן שנדרש מדד מורכב שכולל כמה מדדים, מתוך הכרה בחולשות של כל אחד מהם.</w:t>
      </w:r>
      <w:r>
        <w:rPr>
          <w:rStyle w:val="FootnoteReference"/>
        </w:rPr>
        <w:footnoteReference w:id="145"/>
      </w:r>
      <w:r>
        <w:rPr>
          <w:rFonts w:ascii="Times New Roman" w:cs="David" w:eastAsia="David" w:hAnsi="Times New Roman"/>
          <w:sz w:val="24"/>
          <w:szCs w:val="24"/>
          <w:rtl/>
        </w:rPr>
        <w:t xml:space="preserve"> הבעיה חריפה משום שקביעת יעדים משפיעה בעצמה על התנהגות השוטרים, ומדידה שמבוססת רק על אירועים מחמיצה את החשיבות של בניית תיקים עם תשתית ראייתית חזקה, שיובילו לעונשי מאסר משמעותיים.</w:t>
      </w:r>
      <w:r>
        <w:rPr>
          <w:rStyle w:val="FootnoteReference"/>
        </w:rPr>
        <w:footnoteReference w:id="146"/>
      </w:r>
    </w:p>
    <w:p>
      <w:pPr>
        <w:bidi/>
        <w:spacing w:after="120" w:line="360"/>
        <w:ind w:firstLine="0"/>
        <w:jc w:val="both"/>
      </w:pPr>
      <w:r>
        <w:rPr>
          <w:rFonts w:ascii="Times New Roman" w:cs="David" w:eastAsia="David" w:hAnsi="Times New Roman"/>
          <w:sz w:val="24"/>
          <w:szCs w:val="24"/>
          <w:rtl/>
        </w:rPr>
        <w:t xml:space="preserve">במילים אחרות, המדד שנבחר עלול להסיט את המאמץ מן המטרה שהמודל עצמו הציב. ירידה בדיווח יכולה להקטין את מספר האירועים הרשומים גם בלי שהפשיעה ירדה. בקבוצה שבה שיעור הדיווח נמוך מלכתחילה ושיעור כתבי האישום זניח, מדד שמבוסס רק על מספר האירועים עלול להראות שיפור גם כאשר ההגנה על הקהילה נחלשה. זה הקושי המתודולוגי המרכזי בכל הערכה של הרפורמה ביחס לקבוצה שבה עוסקת העבודה.</w:t>
      </w:r>
    </w:p>
    <w:p>
      <w:pPr>
        <w:pStyle w:val="Heading1"/>
        <w:pageBreakBefore/>
        <w:bidi/>
        <w:spacing w:after="160" w:before="240"/>
        <w:jc w:val="center"/>
      </w:pPr>
      <w:r>
        <w:rPr>
          <w:rFonts w:ascii="Times New Roman" w:cs="David" w:eastAsia="David" w:hAnsi="Times New Roman"/>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Times New Roman" w:cs="David" w:eastAsia="David" w:hAnsi="Times New Roman"/>
          <w:b/>
          <w:bCs/>
          <w:sz w:val="28"/>
          <w:szCs w:val="28"/>
          <w:rtl/>
        </w:rPr>
        <w:t xml:space="preserve">6.1 מטרת ההשוואה ואמות המידה להשוואה</w:t>
      </w:r>
    </w:p>
    <w:p>
      <w:pPr>
        <w:bidi/>
        <w:spacing w:after="120" w:line="360"/>
        <w:ind w:firstLine="0"/>
        <w:jc w:val="both"/>
      </w:pPr>
      <w:r>
        <w:rPr>
          <w:rFonts w:ascii="Times New Roman" w:cs="David" w:eastAsia="David" w:hAnsi="Times New Roman"/>
          <w:sz w:val="24"/>
          <w:szCs w:val="24"/>
          <w:rtl/>
        </w:rPr>
        <w:t xml:space="preserve">ההשוואה אינה נועדה להציע פתרונות מוכנים. היא בוחנת כלים משפטיים מארצות הברית ומאנגליה ווילס, על רקע ההבדלים בינן לבין ישראל, ומתמקדת בשאלה איך מוסדר שיטור יזום וממוקד ואילו כלים קיימים לבדיקת השפעתו על קבוצות מיעוט. הדיון אינו מדרג את השיטות. הוא משתמש בכללים ובפסקי הדין שיוצגו כדי לבחון את האיזון בין תוצאות האכיפה לבין זכויות הציבור ואמונו במשטרה.</w:t>
      </w:r>
    </w:p>
    <w:p>
      <w:pPr>
        <w:bidi/>
        <w:spacing w:after="120" w:line="360"/>
        <w:ind w:firstLine="0"/>
        <w:jc w:val="both"/>
      </w:pPr>
      <w:r>
        <w:rPr>
          <w:rFonts w:ascii="Times New Roman" w:cs="David" w:eastAsia="David" w:hAnsi="Times New Roman"/>
          <w:sz w:val="24"/>
          <w:szCs w:val="24"/>
          <w:rtl/>
        </w:rPr>
        <w:t xml:space="preserve">ההשוואה נערכת לאורך שלושה צירים. הציר הראשון הוא קביעת מיקוד האכיפה: מי מחליט כלפי מי ומה תופנה הפעילות, ועל סמך אילו נתונים. הציר השני הוא הבניית שיקול הדעת של השוטר במפגש עצמו, ובכלל זה תבחינים להפעלת הסמכות, חובות תיעוד וחובות הנמקה. הציר השלישי הוא מדידת האפקטיביות, השוויון והלגיטימיות, והשאלה מי מוסמך לבחון את הפערים ולדרוש לתקן אותם.</w:t>
      </w:r>
    </w:p>
    <w:p>
      <w:pPr>
        <w:bidi/>
        <w:spacing w:after="120" w:line="360"/>
        <w:ind w:firstLine="0"/>
        <w:jc w:val="both"/>
      </w:pPr>
      <w:r>
        <w:rPr>
          <w:rFonts w:ascii="Times New Roman" w:cs="David" w:eastAsia="David" w:hAnsi="Times New Roman"/>
          <w:sz w:val="24"/>
          <w:szCs w:val="24"/>
          <w:rtl/>
        </w:rPr>
        <w:t xml:space="preserve">שני הצירים הראשונים מבחינים בין רמת התכנון לבין רמת הביצוע, וכך מאפשרים לבחון בנפרד שני שלבים באמו"ן. הרפורמה הישראלית מקפידה על שלב התכנון: היא דורשת ביסוס בנתונים, אישור של הפוליגון ותיקוף מול הציבור. אבל במסמכים שנבחנו אין פירוט מקביל לשאלה איך ייבחר האדם שאליו יפנה השוטר בתוך הפוליגון.</w:t>
      </w:r>
      <w:r>
        <w:rPr>
          <w:rStyle w:val="FootnoteReference"/>
        </w:rPr>
        <w:footnoteReference w:id="147"/>
      </w:r>
      <w:r>
        <w:rPr>
          <w:rFonts w:ascii="Times New Roman" w:cs="David" w:eastAsia="David" w:hAnsi="Times New Roman"/>
          <w:sz w:val="24"/>
          <w:szCs w:val="24"/>
          <w:rtl/>
        </w:rPr>
        <w:t xml:space="preserve"> כללי העיכוב והחיפוש בשתי השיטות יאפשרו לבדוק איך הן מבחינות בין יעד הפעילות לבין ההצדקה לפעולה כלפי אדם מסוים.</w:t>
      </w:r>
    </w:p>
    <w:p>
      <w:pPr>
        <w:bidi/>
        <w:spacing w:after="120" w:line="360"/>
        <w:ind w:firstLine="0"/>
        <w:jc w:val="both"/>
      </w:pPr>
      <w:r>
        <w:rPr>
          <w:rFonts w:ascii="Times New Roman" w:cs="David" w:eastAsia="David" w:hAnsi="Times New Roman"/>
          <w:sz w:val="24"/>
          <w:szCs w:val="24"/>
          <w:rtl/>
        </w:rPr>
        <w:t xml:space="preserve">הציר השלישי נוגע לשאלה שכל רפורמה מבוססת נתונים חייבת לענות עליה: אם הארגון מודד את עצמו, מי בודק את המדידה? הפרק יציג שני סוגי מנגנונים. האחד הוא חובות פיקוח ושיתוף של נציגי הקהילה בבחינת רישומי החיפושים, כפי שנקבע בקוד </w:t>
      </w:r>
      <w:r>
        <w:rPr>
          <w:rFonts w:ascii="Times New Roman" w:cs="David" w:eastAsia="David" w:hAnsi="Times New Roman"/>
          <w:sz w:val="24"/>
          <w:szCs w:val="24"/>
          <w:rtl w:val="false"/>
        </w:rPr>
        <w:t xml:space="preserve">A‎</w:t>
      </w:r>
      <w:r>
        <w:rPr>
          <w:rFonts w:ascii="Times New Roman" w:cs="David" w:eastAsia="David" w:hAnsi="Times New Roman"/>
          <w:sz w:val="24"/>
          <w:szCs w:val="24"/>
          <w:rtl/>
        </w:rPr>
        <w:t xml:space="preserve"> הבריטי.</w:t>
      </w:r>
      <w:r>
        <w:rPr>
          <w:rStyle w:val="FootnoteReference"/>
        </w:rPr>
        <w:footnoteReference w:id="148"/>
      </w:r>
      <w:r>
        <w:rPr>
          <w:rFonts w:ascii="Times New Roman" w:cs="David" w:eastAsia="David" w:hAnsi="Times New Roman"/>
          <w:sz w:val="24"/>
          <w:szCs w:val="24"/>
          <w:rtl/>
        </w:rPr>
        <w:t xml:space="preserve"> השני הוא מינוי מפקח עצמאי במסגרת הליך שיפוטי, כפי שהסבירה ממשלת ארצות הברית בעניין </w:t>
      </w:r>
      <w:r>
        <w:rPr>
          <w:rFonts w:ascii="Times New Roman" w:cs="David" w:eastAsia="David" w:hAnsi="Times New Roman"/>
          <w:i/>
          <w:iCs/>
          <w:sz w:val="24"/>
          <w:szCs w:val="24"/>
          <w:rtl w:val="false"/>
        </w:rPr>
        <w:t xml:space="preserve">Floyd‎</w:t>
      </w:r>
      <w:r>
        <w:rPr>
          <w:rFonts w:ascii="Times New Roman" w:cs="David" w:eastAsia="David" w:hAnsi="Times New Roman"/>
          <w:sz w:val="24"/>
          <w:szCs w:val="24"/>
          <w:rtl/>
        </w:rPr>
        <w:t xml:space="preserve">.</w:t>
      </w:r>
      <w:r>
        <w:rPr>
          <w:rStyle w:val="FootnoteReference"/>
        </w:rPr>
        <w:footnoteReference w:id="149"/>
      </w:r>
    </w:p>
    <w:p>
      <w:pPr>
        <w:bidi/>
        <w:spacing w:after="120" w:line="360"/>
        <w:ind w:firstLine="0"/>
        <w:jc w:val="both"/>
      </w:pPr>
      <w:r>
        <w:rPr>
          <w:rFonts w:ascii="Times New Roman" w:cs="David" w:eastAsia="David" w:hAnsi="Times New Roman"/>
          <w:sz w:val="24"/>
          <w:szCs w:val="24"/>
          <w:rtl/>
        </w:rPr>
        <w:t xml:space="preserve">שתי השיטות נבחרו בגלל תרומתן לשאלת המחקר. ארצות הברית היא מקור מודל השיטור המוכוון בעיות, שהתפתח מאז הצעתו של גולדשטיין בשנת 1979.</w:t>
      </w:r>
      <w:r>
        <w:rPr>
          <w:rStyle w:val="FootnoteReference"/>
        </w:rPr>
        <w:footnoteReference w:id="150"/>
      </w:r>
      <w:r>
        <w:rPr>
          <w:rFonts w:ascii="Times New Roman" w:cs="David" w:eastAsia="David" w:hAnsi="Times New Roman"/>
          <w:sz w:val="24"/>
          <w:szCs w:val="24"/>
          <w:rtl/>
        </w:rPr>
        <w:t xml:space="preserve"> אנגליה ווילס מספקות דוגמה לחקיקה מפורטת של סמכויות עיכוב וחיפוש, לצד קוד שמסדיר את הפעלתן.</w:t>
      </w:r>
      <w:r>
        <w:rPr>
          <w:rStyle w:val="FootnoteReference"/>
        </w:rPr>
        <w:footnoteReference w:id="151"/>
      </w:r>
      <w:r>
        <w:rPr>
          <w:rFonts w:ascii="Times New Roman" w:cs="David" w:eastAsia="David" w:hAnsi="Times New Roman"/>
          <w:sz w:val="24"/>
          <w:szCs w:val="24"/>
          <w:rtl/>
        </w:rPr>
        <w:t xml:space="preserve"> הדיון הבריטי מתמקד בהסדרים האלה, ואינו מתיימר לתאר את הדין בכל חלקי הממלכה המאוחדת. בשתי השיטות עלו טענות לאכיפה מפלה כלפי מיעוטים, והכלים שפותחו לבחינתן רלוונטיים לשאלות של תיעוד, פיקוח והנמקה גם באמו"ן.</w:t>
      </w:r>
    </w:p>
    <w:p>
      <w:pPr>
        <w:pStyle w:val="Heading2"/>
        <w:bidi/>
        <w:spacing w:after="160" w:before="240"/>
        <w:jc w:val="right"/>
      </w:pPr>
      <w:r>
        <w:rPr>
          <w:rFonts w:ascii="Times New Roman" w:cs="David" w:eastAsia="David" w:hAnsi="Times New Roman"/>
          <w:b/>
          <w:bCs/>
          <w:sz w:val="28"/>
          <w:szCs w:val="28"/>
          <w:rtl/>
        </w:rPr>
        <w:t xml:space="preserve">6.2 ארצות הברית: שיטור מוכוון בעיות, אכיפה ממוקדת ופיקוח משפטי</w:t>
      </w:r>
    </w:p>
    <w:p>
      <w:pPr>
        <w:bidi/>
        <w:spacing w:after="120" w:line="360"/>
        <w:ind w:firstLine="0"/>
        <w:jc w:val="both"/>
      </w:pPr>
      <w:r>
        <w:rPr>
          <w:rFonts w:ascii="Times New Roman" w:cs="David" w:eastAsia="David" w:hAnsi="Times New Roman"/>
          <w:sz w:val="24"/>
          <w:szCs w:val="24"/>
          <w:rtl/>
        </w:rPr>
        <w:t xml:space="preserve">המודל שאמו"ן אימצה נולד בארצות הברית. גולדשטיין הציע אותו בשנת 1979, ואק וספלמן הפכו אותו לשיטת עבודה בת ארבעה שלבים.</w:t>
      </w:r>
      <w:r>
        <w:rPr>
          <w:rStyle w:val="FootnoteReference"/>
        </w:rPr>
        <w:footnoteReference w:id="152"/>
      </w:r>
      <w:r>
        <w:rPr>
          <w:rFonts w:ascii="Times New Roman" w:cs="David" w:eastAsia="David" w:hAnsi="Times New Roman"/>
          <w:sz w:val="24"/>
          <w:szCs w:val="24"/>
          <w:rtl/>
        </w:rPr>
        <w:t xml:space="preserve"> במקביל התפתחו שם שתי אסטרטגיות נוספות של שיטור יזום, שיטור נקודות חמות והרתעה ממוקדת, ושתיהן נבחנו במחקרי הערכה שסוכמו בסקירות שיטתיות.</w:t>
      </w:r>
      <w:r>
        <w:rPr>
          <w:rStyle w:val="FootnoteReference"/>
        </w:rPr>
        <w:footnoteReference w:id="153"/>
      </w:r>
      <w:r>
        <w:rPr>
          <w:rFonts w:ascii="Times New Roman" w:cs="David" w:eastAsia="David" w:hAnsi="Times New Roman"/>
          <w:sz w:val="24"/>
          <w:szCs w:val="24"/>
          <w:rtl/>
        </w:rPr>
        <w:t xml:space="preserve"> הבסיס המחקרי הזה מעניק לרפורמה הישראלית את הלגיטימציה המקצועית שלה, ולכן גם מחייב לבחון אותה לפי אותם קריטריונים.</w:t>
      </w:r>
    </w:p>
    <w:p>
      <w:pPr>
        <w:bidi/>
        <w:spacing w:after="120" w:line="360"/>
        <w:ind w:firstLine="0"/>
        <w:jc w:val="both"/>
      </w:pPr>
      <w:r>
        <w:rPr>
          <w:rFonts w:ascii="Times New Roman" w:cs="David" w:eastAsia="David" w:hAnsi="Times New Roman"/>
          <w:sz w:val="24"/>
          <w:szCs w:val="24"/>
          <w:rtl/>
        </w:rPr>
        <w:t xml:space="preserve">מצד הזכויות עומד התיקון הרביעי לחוקה, שאוסר חיפושים ותפיסות בלתי סבירים.</w:t>
      </w:r>
      <w:r>
        <w:rPr>
          <w:rStyle w:val="FootnoteReference"/>
        </w:rPr>
        <w:footnoteReference w:id="154"/>
      </w:r>
      <w:r>
        <w:rPr>
          <w:rFonts w:ascii="Times New Roman" w:cs="David" w:eastAsia="David" w:hAnsi="Times New Roman"/>
          <w:sz w:val="24"/>
          <w:szCs w:val="24"/>
          <w:rtl/>
        </w:rPr>
        <w:t xml:space="preserve"> בעניין </w:t>
      </w:r>
      <w:r>
        <w:rPr>
          <w:rFonts w:ascii="Times New Roman" w:cs="David" w:eastAsia="David" w:hAnsi="Times New Roman"/>
          <w:i/>
          <w:iCs/>
          <w:sz w:val="24"/>
          <w:szCs w:val="24"/>
          <w:rtl w:val="false"/>
        </w:rPr>
        <w:t xml:space="preserve">Terry‎</w:t>
      </w:r>
      <w:r>
        <w:rPr>
          <w:rFonts w:ascii="Times New Roman" w:cs="David" w:eastAsia="David" w:hAnsi="Times New Roman"/>
          <w:sz w:val="24"/>
          <w:szCs w:val="24"/>
          <w:rtl/>
        </w:rPr>
        <w:t xml:space="preserve"> נקבע שהתערבות משטרתית צריכה להישען על עובדות ספציפיות שהשוטר יכול להצביע עליהן, ועל מסקנות סבירות שנובעות מהן.</w:t>
      </w:r>
      <w:r>
        <w:rPr>
          <w:rStyle w:val="FootnoteReference"/>
        </w:rPr>
        <w:footnoteReference w:id="155"/>
      </w:r>
      <w:r>
        <w:rPr>
          <w:rFonts w:ascii="Times New Roman" w:cs="David" w:eastAsia="David" w:hAnsi="Times New Roman"/>
          <w:sz w:val="24"/>
          <w:szCs w:val="24"/>
          <w:rtl/>
        </w:rPr>
        <w:t xml:space="preserve"> פסק הדין מבחין בין עצירה קצרה לבירור, שמחייבת חשד סביר לפעילות עבריינית, לבין טפיחה חיצונית לאיתור נשק, שמחייבת יסוד סביר להניח שהאדם חמוש ומסוכן ונועדה להגן על השוטר ועל אחרים.</w:t>
      </w:r>
      <w:r>
        <w:rPr>
          <w:rStyle w:val="FootnoteReference"/>
        </w:rPr>
        <w:footnoteReference w:id="156"/>
      </w:r>
      <w:r>
        <w:rPr>
          <w:rFonts w:ascii="Times New Roman" w:cs="David" w:eastAsia="David" w:hAnsi="Times New Roman"/>
          <w:sz w:val="24"/>
          <w:szCs w:val="24"/>
          <w:rtl/>
        </w:rPr>
        <w:t xml:space="preserve"> הצדקה לבירור ראשוני אינה מעניקה אוטומטית הצדקה לחיפוש.</w:t>
      </w:r>
    </w:p>
    <w:p>
      <w:pPr>
        <w:bidi/>
        <w:spacing w:after="120" w:line="360"/>
        <w:ind w:firstLine="0"/>
        <w:jc w:val="both"/>
      </w:pPr>
      <w:r>
        <w:rPr>
          <w:rFonts w:ascii="Times New Roman" w:cs="David" w:eastAsia="David" w:hAnsi="Times New Roman"/>
          <w:sz w:val="24"/>
          <w:szCs w:val="24"/>
          <w:rtl/>
        </w:rPr>
        <w:t xml:space="preserve">פסקי דין מאוחרים יותר צמצמו את הביקורת על פעולות כאלה. בעניין </w:t>
      </w:r>
      <w:r>
        <w:rPr>
          <w:rFonts w:ascii="Times New Roman" w:cs="David" w:eastAsia="David" w:hAnsi="Times New Roman"/>
          <w:i/>
          <w:iCs/>
          <w:sz w:val="24"/>
          <w:szCs w:val="24"/>
          <w:rtl w:val="false"/>
        </w:rPr>
        <w:t xml:space="preserve">Whren‎</w:t>
      </w:r>
      <w:r>
        <w:rPr>
          <w:rFonts w:ascii="Times New Roman" w:cs="David" w:eastAsia="David" w:hAnsi="Times New Roman"/>
          <w:sz w:val="24"/>
          <w:szCs w:val="24"/>
          <w:rtl/>
        </w:rPr>
        <w:t xml:space="preserve"> נקבע שכוונותיו הסובייקטיביות של השוטר אינן רלוונטיות לבחינת הסבירות של העצירה, ושההגנה מפני אכיפה מפלה מצויה בסעיף ההגנה השווה ולא בתיקון הרביעי.</w:t>
      </w:r>
      <w:r>
        <w:rPr>
          <w:rStyle w:val="FootnoteReference"/>
        </w:rPr>
        <w:footnoteReference w:id="157"/>
      </w:r>
      <w:r>
        <w:rPr>
          <w:rFonts w:ascii="Times New Roman" w:cs="David" w:eastAsia="David" w:hAnsi="Times New Roman"/>
          <w:sz w:val="24"/>
          <w:szCs w:val="24"/>
          <w:rtl/>
        </w:rPr>
        <w:t xml:space="preserve"> בעניין </w:t>
      </w:r>
      <w:r>
        <w:rPr>
          <w:rFonts w:ascii="Times New Roman" w:cs="David" w:eastAsia="David" w:hAnsi="Times New Roman"/>
          <w:i/>
          <w:iCs/>
          <w:sz w:val="24"/>
          <w:szCs w:val="24"/>
          <w:rtl w:val="false"/>
        </w:rPr>
        <w:t xml:space="preserve">Wardlow‎</w:t>
      </w:r>
      <w:r>
        <w:rPr>
          <w:rFonts w:ascii="Times New Roman" w:cs="David" w:eastAsia="David" w:hAnsi="Times New Roman"/>
          <w:sz w:val="24"/>
          <w:szCs w:val="24"/>
          <w:rtl/>
        </w:rPr>
        <w:t xml:space="preserve"> נקבע שנוכחות באזור של פשיעה גבוהה אינה מספיקה לבדה לחשד סביר, אבל מאפייני המקום רלוונטיים להערכת הנסיבות, ובריחה פתאומית של אדם למראה שוטרים יכולה לעורר חשד.</w:t>
      </w:r>
      <w:r>
        <w:rPr>
          <w:rStyle w:val="FootnoteReference"/>
        </w:rPr>
        <w:footnoteReference w:id="158"/>
      </w:r>
      <w:r>
        <w:rPr>
          <w:rFonts w:ascii="Times New Roman" w:cs="David" w:eastAsia="David" w:hAnsi="Times New Roman"/>
          <w:sz w:val="24"/>
          <w:szCs w:val="24"/>
          <w:rtl/>
        </w:rPr>
        <w:t xml:space="preserve"> שתי ההלכות יחד משאירות מרחב רחב לפעילות יזומה באזורים שהוגדרו כאזורי פשיעה. מסלול ההגנה השווה עצמו קשה להוכחה. בעניין </w:t>
      </w:r>
      <w:r>
        <w:rPr>
          <w:rFonts w:ascii="Times New Roman" w:cs="David" w:eastAsia="David" w:hAnsi="Times New Roman"/>
          <w:i/>
          <w:iCs/>
          <w:sz w:val="24"/>
          <w:szCs w:val="24"/>
          <w:rtl w:val="false"/>
        </w:rPr>
        <w:t xml:space="preserve">Armstrong‎</w:t>
      </w:r>
      <w:r>
        <w:rPr>
          <w:rFonts w:ascii="Times New Roman" w:cs="David" w:eastAsia="David" w:hAnsi="Times New Roman"/>
          <w:sz w:val="24"/>
          <w:szCs w:val="24"/>
          <w:rtl/>
        </w:rPr>
        <w:t xml:space="preserve">, שעסק בהעמדה לדין בררנית, נדרשה הוכחה של תוצאה מפלה ושל מטרה מפלה, ובכלל זה הצבעה על אנשים במצב דומה מקבוצה אחרת שלא הועמדו לדין.</w:t>
      </w:r>
      <w:r>
        <w:rPr>
          <w:rStyle w:val="FootnoteReference"/>
        </w:rPr>
        <w:footnoteReference w:id="159"/>
      </w:r>
      <w:r>
        <w:rPr>
          <w:rFonts w:ascii="Times New Roman" w:cs="David" w:eastAsia="David" w:hAnsi="Times New Roman"/>
          <w:sz w:val="24"/>
          <w:szCs w:val="24"/>
          <w:rtl/>
        </w:rPr>
        <w:t xml:space="preserve"> ההלכה נוגעת להחלטות תביעה ולא לפעולת שוטרים, ואין להציג אותה כחסימה של כל טענה לאכיפה משטרתית מפלה. אבל היא ממחישה את הנטל הראייתי הכבד.</w:t>
      </w:r>
    </w:p>
    <w:p>
      <w:pPr>
        <w:bidi/>
        <w:spacing w:after="120" w:line="360"/>
        <w:ind w:firstLine="0"/>
        <w:jc w:val="both"/>
      </w:pPr>
      <w:r>
        <w:rPr>
          <w:rFonts w:ascii="Times New Roman" w:cs="David" w:eastAsia="David" w:hAnsi="Times New Roman"/>
          <w:sz w:val="24"/>
          <w:szCs w:val="24"/>
          <w:rtl/>
        </w:rPr>
        <w:t xml:space="preserve">ההשלכות על קבוצות מיעוט מתועדות היטב. חקירת משרד המשפטים האמריקאי בפרגוסון מצאה שהאכיפה המקומית הונעה משיקולי הכנסה ולא מצורכי ביטחון הציבור, ושהדבר יצר דפוס של שיטור בלתי חוקתי שפגע במיוחד באפרו-אמריקאים.</w:t>
      </w:r>
      <w:r>
        <w:rPr>
          <w:rStyle w:val="FootnoteReference"/>
        </w:rPr>
        <w:footnoteReference w:id="160"/>
      </w:r>
      <w:r>
        <w:rPr>
          <w:rFonts w:ascii="Times New Roman" w:cs="David" w:eastAsia="David" w:hAnsi="Times New Roman"/>
          <w:sz w:val="24"/>
          <w:szCs w:val="24"/>
          <w:rtl/>
        </w:rPr>
        <w:t xml:space="preserve"> בשנים 2012 עד 2014 היו אפרו-אמריקאים 85% מן הנעצרים בעצירות רכב, 90% ממקבלי הדוחות ו-93% מן העצורים, אף שהיו 67% מן האוכלוסייה.</w:t>
      </w:r>
      <w:r>
        <w:rPr>
          <w:rStyle w:val="FootnoteReference"/>
        </w:rPr>
        <w:footnoteReference w:id="161"/>
      </w:r>
      <w:r>
        <w:rPr>
          <w:rFonts w:ascii="Times New Roman" w:cs="David" w:eastAsia="David" w:hAnsi="Times New Roman"/>
          <w:sz w:val="24"/>
          <w:szCs w:val="24"/>
          <w:rtl/>
        </w:rPr>
        <w:t xml:space="preserve"> דוח האקדמיות הלאומיות ניסח את הבעיה באופן כללי יותר: מיקוד באנשים או במקומות בסיכון גבוה צפוי ליצור פערים גזעיים גדולים בהיקף המפגשים.</w:t>
      </w:r>
      <w:r>
        <w:rPr>
          <w:rStyle w:val="FootnoteReference"/>
        </w:rPr>
        <w:footnoteReference w:id="162"/>
      </w:r>
    </w:p>
    <w:p>
      <w:pPr>
        <w:bidi/>
        <w:spacing w:after="120" w:line="360"/>
        <w:ind w:firstLine="0"/>
        <w:jc w:val="both"/>
      </w:pPr>
      <w:r>
        <w:rPr>
          <w:rFonts w:ascii="Times New Roman" w:cs="David" w:eastAsia="David" w:hAnsi="Times New Roman"/>
          <w:sz w:val="24"/>
          <w:szCs w:val="24"/>
          <w:rtl/>
        </w:rPr>
        <w:t xml:space="preserve">מנגנוני התיקון בארצות הברית פועלים בשלושה ערוצים. הראשון הוא תביעה אזרחית נגד עובד ציבור שפגע בזכות חוקתית,</w:t>
      </w:r>
      <w:r>
        <w:rPr>
          <w:rStyle w:val="FootnoteReference"/>
        </w:rPr>
        <w:footnoteReference w:id="163"/>
      </w:r>
      <w:r>
        <w:rPr>
          <w:rFonts w:ascii="Times New Roman" w:cs="David" w:eastAsia="David" w:hAnsi="Times New Roman"/>
          <w:sz w:val="24"/>
          <w:szCs w:val="24"/>
          <w:rtl/>
        </w:rPr>
        <w:t xml:space="preserve"> אבל רשות מקומית אינה אחראית באחריות שילוחית, והתובע צריך להוכיח מדיניות או נוהג של הרשות.</w:t>
      </w:r>
      <w:r>
        <w:rPr>
          <w:rStyle w:val="FootnoteReference"/>
        </w:rPr>
        <w:footnoteReference w:id="164"/>
      </w:r>
      <w:r>
        <w:rPr>
          <w:rFonts w:ascii="Times New Roman" w:cs="David" w:eastAsia="David" w:hAnsi="Times New Roman"/>
          <w:sz w:val="24"/>
          <w:szCs w:val="24"/>
          <w:rtl/>
        </w:rPr>
        <w:t xml:space="preserve"> השני הוא סמכות התובע הכללי הפדרלי להגיש תביעה אזרחית כאשר קיים דפוס או נוהג של התנהגות משטרתית שפוגעת בזכויות.</w:t>
      </w:r>
      <w:r>
        <w:rPr>
          <w:rStyle w:val="FootnoteReference"/>
        </w:rPr>
        <w:footnoteReference w:id="165"/>
      </w:r>
      <w:r>
        <w:rPr>
          <w:rFonts w:ascii="Times New Roman" w:cs="David" w:eastAsia="David" w:hAnsi="Times New Roman"/>
          <w:sz w:val="24"/>
          <w:szCs w:val="24"/>
          <w:rtl/>
        </w:rPr>
        <w:t xml:space="preserve"> השלישי הוא פיקוח שיפוטי באמצעות מפקח חיצוני. ממשלת ארצות הברית הסבירה שמפקח עצמאי הוא כלי חשוב לבית המשפט, לצדדים ולקהילה בתיקים שעוסקים בדפוס של התנהגות בלתי חוקית.</w:t>
      </w:r>
      <w:r>
        <w:rPr>
          <w:rStyle w:val="FootnoteReference"/>
        </w:rPr>
        <w:footnoteReference w:id="166"/>
      </w:r>
    </w:p>
    <w:p>
      <w:pPr>
        <w:bidi/>
        <w:spacing w:after="120" w:line="360"/>
        <w:ind w:firstLine="0"/>
        <w:jc w:val="both"/>
      </w:pPr>
      <w:r>
        <w:rPr>
          <w:rFonts w:ascii="Times New Roman" w:cs="David" w:eastAsia="David" w:hAnsi="Times New Roman"/>
          <w:sz w:val="24"/>
          <w:szCs w:val="24"/>
          <w:rtl/>
        </w:rPr>
        <w:t xml:space="preserve">מגבלת הערוץ החוקתי בולטת בצד השני, צד ההגנה החסרה. בעניין </w:t>
      </w:r>
      <w:r>
        <w:rPr>
          <w:rFonts w:ascii="Times New Roman" w:cs="David" w:eastAsia="David" w:hAnsi="Times New Roman"/>
          <w:i/>
          <w:iCs/>
          <w:sz w:val="24"/>
          <w:szCs w:val="24"/>
          <w:rtl w:val="false"/>
        </w:rPr>
        <w:t xml:space="preserve">DeShaney‎</w:t>
      </w:r>
      <w:r>
        <w:rPr>
          <w:rFonts w:ascii="Times New Roman" w:cs="David" w:eastAsia="David" w:hAnsi="Times New Roman"/>
          <w:sz w:val="24"/>
          <w:szCs w:val="24"/>
          <w:rtl/>
        </w:rPr>
        <w:t xml:space="preserve"> נקבע שסעיף ההליך ההוגן אינו מקנה, ככלל, זכות חיובית לסיוע מן המדינה, גם כשהסיוע נחוץ להגנה על חיים ועל חירות.</w:t>
      </w:r>
      <w:r>
        <w:rPr>
          <w:rStyle w:val="FootnoteReference"/>
        </w:rPr>
        <w:footnoteReference w:id="167"/>
      </w:r>
      <w:r>
        <w:rPr>
          <w:rFonts w:ascii="Times New Roman" w:cs="David" w:eastAsia="David" w:hAnsi="Times New Roman"/>
          <w:sz w:val="24"/>
          <w:szCs w:val="24"/>
          <w:rtl/>
        </w:rPr>
        <w:t xml:space="preserve"> בעניין </w:t>
      </w:r>
      <w:r>
        <w:rPr>
          <w:rFonts w:ascii="Times New Roman" w:cs="David" w:eastAsia="David" w:hAnsi="Times New Roman"/>
          <w:i/>
          <w:iCs/>
          <w:sz w:val="24"/>
          <w:szCs w:val="24"/>
          <w:rtl w:val="false"/>
        </w:rPr>
        <w:t xml:space="preserve">Castle Rock‎</w:t>
      </w:r>
      <w:r>
        <w:rPr>
          <w:rFonts w:ascii="Times New Roman" w:cs="David" w:eastAsia="David" w:hAnsi="Times New Roman"/>
          <w:sz w:val="24"/>
          <w:szCs w:val="24"/>
          <w:rtl/>
        </w:rPr>
        <w:t xml:space="preserve"> נדחתה הטענה שלאדם יש זכות קניינית לאכיפה של צו הגנה שניתן לטובתו.</w:t>
      </w:r>
      <w:r>
        <w:rPr>
          <w:rStyle w:val="FootnoteReference"/>
        </w:rPr>
        <w:footnoteReference w:id="168"/>
      </w:r>
      <w:r>
        <w:rPr>
          <w:rFonts w:ascii="Times New Roman" w:cs="David" w:eastAsia="David" w:hAnsi="Times New Roman"/>
          <w:sz w:val="24"/>
          <w:szCs w:val="24"/>
          <w:rtl/>
        </w:rPr>
        <w:t xml:space="preserve"> גם דיני הנזיקין אינם ממלאים את החלל. סגל מעריך שבארצות הברית הביקורת השיפוטית על רשויות באמצעות דיני הנזיקין אינה בעלת השפעה משמעותית, משום שחריג שיקול הדעת חל גם על מחדלים.</w:t>
      </w:r>
      <w:r>
        <w:rPr>
          <w:rStyle w:val="FootnoteReference"/>
        </w:rPr>
        <w:footnoteReference w:id="169"/>
      </w:r>
      <w:r>
        <w:rPr>
          <w:rFonts w:ascii="Times New Roman" w:cs="David" w:eastAsia="David" w:hAnsi="Times New Roman"/>
          <w:sz w:val="24"/>
          <w:szCs w:val="24"/>
          <w:rtl/>
        </w:rPr>
        <w:t xml:space="preserve"> המשפט האמריקאי מספק אפוא כלים מסוימים נגד אכיפת יתר, אבל כמעט אינו מספק כלים נגד אכיפת חסר. זהו חוסר האיזון שנטפוף הצביעה עליו.</w:t>
      </w:r>
      <w:r>
        <w:rPr>
          <w:rStyle w:val="FootnoteReference"/>
        </w:rPr>
        <w:footnoteReference w:id="170"/>
      </w:r>
    </w:p>
    <w:p>
      <w:pPr>
        <w:bidi/>
        <w:spacing w:after="120" w:line="360"/>
        <w:ind w:firstLine="0"/>
        <w:jc w:val="both"/>
      </w:pPr>
      <w:r>
        <w:rPr>
          <w:rFonts w:ascii="Times New Roman" w:cs="David" w:eastAsia="David" w:hAnsi="Times New Roman"/>
          <w:sz w:val="24"/>
          <w:szCs w:val="24"/>
          <w:rtl/>
        </w:rPr>
        <w:t xml:space="preserve">ערוץ "הדפוס או הנוהג" קרוב במיוחד לשאלה שבה עוסקת העבודה. הוא אינו בוחן מפגש בודד אלא שיטה, ומאפשר לבקש סעד נגד דפוס של הפרות זכויות.</w:t>
      </w:r>
      <w:r>
        <w:rPr>
          <w:rStyle w:val="FootnoteReference"/>
        </w:rPr>
        <w:footnoteReference w:id="171"/>
      </w:r>
      <w:r>
        <w:rPr>
          <w:rFonts w:ascii="Times New Roman" w:cs="David" w:eastAsia="David" w:hAnsi="Times New Roman"/>
          <w:sz w:val="24"/>
          <w:szCs w:val="24"/>
          <w:rtl/>
        </w:rPr>
        <w:t xml:space="preserve"> חקירת פרגוסון היא דוגמה מובהקת לשימוש בו, והיא הראתה איך יעד ארגוני שאינו קשור לביטחון הציבור מעצב את האכיפה בשטח.</w:t>
      </w:r>
      <w:r>
        <w:rPr>
          <w:rStyle w:val="FootnoteReference"/>
        </w:rPr>
        <w:footnoteReference w:id="172"/>
      </w:r>
      <w:r>
        <w:rPr>
          <w:rFonts w:ascii="Times New Roman" w:cs="David" w:eastAsia="David" w:hAnsi="Times New Roman"/>
          <w:sz w:val="24"/>
          <w:szCs w:val="24"/>
          <w:rtl/>
        </w:rPr>
        <w:t xml:space="preserve"> ההקבלה לאמו"ן חלקית, משום שאמו"ן אינה מונעת משיקולי הכנסה. אבל המנגנון דומה: יעד שנקבע ברמת הארגון מגיע לשוטר כהוראת עבודה.</w:t>
      </w:r>
    </w:p>
    <w:p>
      <w:pPr>
        <w:bidi/>
        <w:spacing w:after="120" w:line="360"/>
        <w:ind w:firstLine="0"/>
        <w:jc w:val="both"/>
      </w:pPr>
      <w:r>
        <w:rPr>
          <w:rFonts w:ascii="Times New Roman" w:cs="David" w:eastAsia="David" w:hAnsi="Times New Roman"/>
          <w:sz w:val="24"/>
          <w:szCs w:val="24"/>
          <w:rtl/>
        </w:rPr>
        <w:t xml:space="preserve">התגובה המוסדית ניסתה לגשר על הפער הזה בדרך אחרת. הצוות הנשיאותי לשיטור במאה ה-21 המליץ לגופי אכיפת החוק לאמץ את הוגנות ההליכים כעיקרון מנחה במדיניות הפנימית והחיצונית.</w:t>
      </w:r>
      <w:r>
        <w:rPr>
          <w:rStyle w:val="FootnoteReference"/>
        </w:rPr>
        <w:footnoteReference w:id="173"/>
      </w:r>
      <w:r>
        <w:rPr>
          <w:rFonts w:ascii="Times New Roman" w:cs="David" w:eastAsia="David" w:hAnsi="Times New Roman"/>
          <w:sz w:val="24"/>
          <w:szCs w:val="24"/>
          <w:rtl/>
        </w:rPr>
        <w:t xml:space="preserve"> המדריך המקצועי להרתעה ממוקדת מדגיש ששלב ההערכה צריך לבחון גם את הוגנות התוכנית ולא רק את השפעתה,</w:t>
      </w:r>
      <w:r>
        <w:rPr>
          <w:rStyle w:val="FootnoteReference"/>
        </w:rPr>
        <w:footnoteReference w:id="174"/>
      </w:r>
      <w:r>
        <w:rPr>
          <w:rFonts w:ascii="Times New Roman" w:cs="David" w:eastAsia="David" w:hAnsi="Times New Roman"/>
          <w:sz w:val="24"/>
          <w:szCs w:val="24"/>
          <w:rtl/>
        </w:rPr>
        <w:t xml:space="preserve"> ומדריך היישום של התוכנית מבהיר שהרכיב הקהילתי הוא יסוד שלה ולא תוספת.</w:t>
      </w:r>
      <w:r>
        <w:rPr>
          <w:rStyle w:val="FootnoteReference"/>
        </w:rPr>
        <w:footnoteReference w:id="175"/>
      </w:r>
    </w:p>
    <w:p>
      <w:pPr>
        <w:pStyle w:val="Heading2"/>
        <w:bidi/>
        <w:spacing w:after="160" w:before="240"/>
        <w:jc w:val="right"/>
      </w:pPr>
      <w:r>
        <w:rPr>
          <w:rFonts w:ascii="Times New Roman" w:cs="David" w:eastAsia="David" w:hAnsi="Times New Roman"/>
          <w:b/>
          <w:bCs/>
          <w:sz w:val="28"/>
          <w:szCs w:val="28"/>
          <w:rtl/>
        </w:rPr>
        <w:t xml:space="preserve">6.3 בריטניה: סמכויות עיכוב וחיפוש, שוויון ואחריותיות משטרתית</w:t>
      </w:r>
    </w:p>
    <w:p>
      <w:pPr>
        <w:bidi/>
        <w:spacing w:after="120" w:line="360"/>
        <w:ind w:firstLine="0"/>
        <w:jc w:val="both"/>
      </w:pPr>
      <w:r>
        <w:rPr>
          <w:rFonts w:ascii="Times New Roman" w:cs="David" w:eastAsia="David" w:hAnsi="Times New Roman"/>
          <w:sz w:val="24"/>
          <w:szCs w:val="24"/>
          <w:rtl/>
        </w:rPr>
        <w:t xml:space="preserve">המודל הבריטי בנוי אחרת. הוא אינו נשען על תיקון חוקתי, אלא על חקיקה ראשית מפורטת ועל קוד התנהגות מחייב שנלווה אליה. חוק המשטרה והראיות הפליליות מסמיך שוטר לערוך חיפוש רק כאשר יש לו יסוד סביר לחשוד שימצא חפץ גנוב או אסור.</w:t>
      </w:r>
      <w:r>
        <w:rPr>
          <w:rStyle w:val="FootnoteReference"/>
        </w:rPr>
        <w:footnoteReference w:id="176"/>
      </w:r>
      <w:r>
        <w:rPr>
          <w:rFonts w:ascii="Times New Roman" w:cs="David" w:eastAsia="David" w:hAnsi="Times New Roman"/>
          <w:sz w:val="24"/>
          <w:szCs w:val="24"/>
          <w:rtl/>
        </w:rPr>
        <w:t xml:space="preserve"> לצד הסמכות הרגילה קיימת סמכות חריגה: סעיף 60 לחוק המשפט הפלילי והסדר הציבורי מאפשר להסמיך חיפושים באזור מוגדר בלי יסוד סביר לחשד פרטני.</w:t>
      </w:r>
      <w:r>
        <w:rPr>
          <w:rStyle w:val="FootnoteReference"/>
        </w:rPr>
        <w:footnoteReference w:id="177"/>
      </w:r>
      <w:r>
        <w:rPr>
          <w:rFonts w:ascii="Times New Roman" w:cs="David" w:eastAsia="David" w:hAnsi="Times New Roman"/>
          <w:sz w:val="24"/>
          <w:szCs w:val="24"/>
          <w:rtl/>
        </w:rPr>
        <w:t xml:space="preserve"> ההבחנה בין שני המסלולים מדגישה את ההבדל בין החלטה ארגונית על אזור פעילות לבין הבסיס להפעלת סמכות כלפי אדם. בישראל, הגדרת פוליגון אינה מקנה סמכות חיפוש ללא חשד שמקבילה לסעיף 60.</w:t>
      </w:r>
    </w:p>
    <w:p>
      <w:pPr>
        <w:bidi/>
        <w:spacing w:after="120" w:line="360"/>
        <w:ind w:firstLine="0"/>
        <w:jc w:val="both"/>
      </w:pPr>
      <w:r>
        <w:rPr>
          <w:rFonts w:ascii="Times New Roman" w:cs="David" w:eastAsia="David" w:hAnsi="Times New Roman"/>
          <w:sz w:val="24"/>
          <w:szCs w:val="24"/>
          <w:rtl/>
        </w:rPr>
        <w:t xml:space="preserve">הרכיב החשוב ביותר להשוואה הוא הקוד. קוד </w:t>
      </w:r>
      <w:r>
        <w:rPr>
          <w:rFonts w:ascii="Times New Roman" w:cs="David" w:eastAsia="David" w:hAnsi="Times New Roman"/>
          <w:sz w:val="24"/>
          <w:szCs w:val="24"/>
          <w:rtl w:val="false"/>
        </w:rPr>
        <w:t xml:space="preserve">A‎</w:t>
      </w:r>
      <w:r>
        <w:rPr>
          <w:rFonts w:ascii="Times New Roman" w:cs="David" w:eastAsia="David" w:hAnsi="Times New Roman"/>
          <w:sz w:val="24"/>
          <w:szCs w:val="24"/>
          <w:rtl/>
        </w:rPr>
        <w:t xml:space="preserve"> קובע שחשד סביר אינו יכול להתבסס על מאפיינים אישיים. בהיעדר מידע או מודיעין שמתארים חשוד מסוים, אסור להסתמך על המראה החיצוני של אדם ביחס למאפיינים שמוגנים בחוק השוויון, ואסור להסתמך על הכללות או על סטריאוטיפים שלפיהם קבוצות מסוימות מעורבות יותר בפשיעה.</w:t>
      </w:r>
      <w:r>
        <w:rPr>
          <w:rStyle w:val="FootnoteReference"/>
        </w:rPr>
        <w:footnoteReference w:id="178"/>
      </w:r>
      <w:r>
        <w:rPr>
          <w:rFonts w:ascii="Times New Roman" w:cs="David" w:eastAsia="David" w:hAnsi="Times New Roman"/>
          <w:sz w:val="24"/>
          <w:szCs w:val="24"/>
          <w:rtl/>
        </w:rPr>
        <w:t xml:space="preserve"> בישראל נגזר איסור דומה מן הפסיקה ובדיעבד, ואילו באנגליה הוא כלל עבודה יומיומי שמחייב את השוטר בשטח. לצד הקוד, חוק השוויון מחייב רשות ציבורית לתת משקל ראוי לצורך למנוע אפליה, לקדם שוויון הזדמנויות ולטפח יחסים טובים בין קבוצות.</w:t>
      </w:r>
      <w:r>
        <w:rPr>
          <w:rStyle w:val="FootnoteReference"/>
        </w:rPr>
        <w:footnoteReference w:id="179"/>
      </w:r>
    </w:p>
    <w:p>
      <w:pPr>
        <w:bidi/>
        <w:spacing w:after="120" w:line="360"/>
        <w:ind w:firstLine="0"/>
        <w:jc w:val="both"/>
      </w:pPr>
      <w:r>
        <w:rPr>
          <w:rFonts w:ascii="Times New Roman" w:cs="David" w:eastAsia="David" w:hAnsi="Times New Roman"/>
          <w:sz w:val="24"/>
          <w:szCs w:val="24"/>
          <w:rtl/>
        </w:rPr>
        <w:t xml:space="preserve">מעל הכלל הזה בנה הקוד שכבת פיקוח. קציני פיקוח חייבים לעקוב אחר השימוש בסמכויות, לבדוק במיוחד אם יש ראיות להפעלתן על בסיס סטריאוטיפים או הכללות, ולבחון אם הרישומים מגלים מגמות או דפוסים מדאיגים.</w:t>
      </w:r>
      <w:r>
        <w:rPr>
          <w:rStyle w:val="FootnoteReference"/>
        </w:rPr>
        <w:footnoteReference w:id="180"/>
      </w:r>
      <w:r>
        <w:rPr>
          <w:rFonts w:ascii="Times New Roman" w:cs="David" w:eastAsia="David" w:hAnsi="Times New Roman"/>
          <w:sz w:val="24"/>
          <w:szCs w:val="24"/>
          <w:rtl/>
        </w:rPr>
        <w:t xml:space="preserve"> הפיקוח נשען על נתונים סטטיסטיים ברמת המשטרה, האזור והמקום, ושימוש שנראה בלתי מידתי, בידי שוטרים מסוימים או כלפי קבוצות מסוימות, צריך להיות מזוהה ונחקר.</w:t>
      </w:r>
      <w:r>
        <w:rPr>
          <w:rStyle w:val="FootnoteReference"/>
        </w:rPr>
        <w:footnoteReference w:id="181"/>
      </w:r>
      <w:r>
        <w:rPr>
          <w:rFonts w:ascii="Times New Roman" w:cs="David" w:eastAsia="David" w:hAnsi="Times New Roman"/>
          <w:sz w:val="24"/>
          <w:szCs w:val="24"/>
          <w:rtl/>
        </w:rPr>
        <w:t xml:space="preserve"> בנוסף, כל משטרה חייבת להסדיר בחינה של הרישומים בידי נציגי הקהילה.</w:t>
      </w:r>
      <w:r>
        <w:rPr>
          <w:rStyle w:val="FootnoteReference"/>
        </w:rPr>
        <w:footnoteReference w:id="182"/>
      </w:r>
    </w:p>
    <w:p>
      <w:pPr>
        <w:bidi/>
        <w:spacing w:after="120" w:line="360"/>
        <w:ind w:firstLine="0"/>
        <w:jc w:val="both"/>
      </w:pPr>
      <w:r>
        <w:rPr>
          <w:rFonts w:ascii="Times New Roman" w:cs="David" w:eastAsia="David" w:hAnsi="Times New Roman"/>
          <w:sz w:val="24"/>
          <w:szCs w:val="24"/>
          <w:rtl/>
        </w:rPr>
        <w:t xml:space="preserve">החקיקה מוסיפה חובות גם במפגש עצמו. השוטר חייב להזדהות, למסור את הבסיס החוקי לחיפוש ואת מטרתו, ולרשום את החיפוש.</w:t>
      </w:r>
      <w:r>
        <w:rPr>
          <w:rStyle w:val="FootnoteReference"/>
        </w:rPr>
        <w:footnoteReference w:id="183"/>
      </w:r>
      <w:r>
        <w:rPr>
          <w:rFonts w:ascii="Times New Roman" w:cs="David" w:eastAsia="David" w:hAnsi="Times New Roman"/>
          <w:sz w:val="24"/>
          <w:szCs w:val="24"/>
          <w:rtl/>
        </w:rPr>
        <w:t xml:space="preserve"> החובות האלה נראות טכניות, אבל יש להן תפקיד כפול. הן מאפשרות לאדם לדעת מדוע נבדק ולערער על כך, והן יוצרות תיעוד שמאפשר לבדוק בדיעבד אם החשד היה סביר. במסמכי אמו"ן שנבחנו לא תואר מנגנון מקביל שמרכז את נתוני המפגשים היזומים לשם בדיקת פערים בין קבוצות. אין בכך קביעה שבדין הישראלי אין חובות תיעוד, אלא הצבעה על רכיב שחסר בהערכת הרפורמה.</w:t>
      </w:r>
    </w:p>
    <w:p>
      <w:pPr>
        <w:bidi/>
        <w:spacing w:after="120" w:line="360"/>
        <w:ind w:firstLine="0"/>
        <w:jc w:val="both"/>
      </w:pPr>
      <w:r>
        <w:rPr>
          <w:rFonts w:ascii="Times New Roman" w:cs="David" w:eastAsia="David" w:hAnsi="Times New Roman"/>
          <w:sz w:val="24"/>
          <w:szCs w:val="24"/>
          <w:rtl/>
        </w:rPr>
        <w:t xml:space="preserve">שורשי המנגנון הבריטי נמצאים בדוח מקפרסון. הדוח הגדיר גזענות ממסדית ככישלון קולקטיבי של ארגון לספק שירות הולם ומקצועי לאנשים בשל צבעם, תרבותם או מוצאם האתני, כישלון שניכר בתהליכים, בעמדות ובהתנהגות שמצטברים לאפליה, באמצעות דעה קדומה לא מודעת, בורות, חוסר מחשבה וסטריאוטיפים גזעניים.</w:t>
      </w:r>
      <w:r>
        <w:rPr>
          <w:rStyle w:val="FootnoteReference"/>
        </w:rPr>
        <w:footnoteReference w:id="184"/>
      </w:r>
      <w:r>
        <w:rPr>
          <w:rFonts w:ascii="Times New Roman" w:cs="David" w:eastAsia="David" w:hAnsi="Times New Roman"/>
          <w:sz w:val="24"/>
          <w:szCs w:val="24"/>
          <w:rtl/>
        </w:rPr>
        <w:t xml:space="preserve"> ההגדרה מנתקת בין כוונה לבין תוצאה, בדומה לממצאי ועדת פלמור שהובאו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w:t>
      </w:r>
      <w:r>
        <w:rPr>
          <w:rStyle w:val="FootnoteReference"/>
        </w:rPr>
        <w:footnoteReference w:id="185"/>
      </w:r>
    </w:p>
    <w:p>
      <w:pPr>
        <w:bidi/>
        <w:spacing w:after="120" w:line="360"/>
        <w:ind w:firstLine="0"/>
        <w:jc w:val="both"/>
      </w:pPr>
      <w:r>
        <w:rPr>
          <w:rFonts w:ascii="Times New Roman" w:cs="David" w:eastAsia="David" w:hAnsi="Times New Roman"/>
          <w:sz w:val="24"/>
          <w:szCs w:val="24"/>
          <w:rtl/>
        </w:rPr>
        <w:t xml:space="preserve">מן ההגדרה נגזרו המלצות מעשיות. מקפרסון המליץ לרשום כל עיכוב וכל עיכוב שמלווה בחיפוש, כולל עיכובים שאינם מכוח חוק ועיכובים בהסכמה. הרישום צריך לכלול את סיבת העיכוב, את תוצאתו ואת הזהות האתנית שהאדם מגדיר לעצמו, ועותק ממנו צריך להימסר לאדם שעוכב.</w:t>
      </w:r>
      <w:r>
        <w:rPr>
          <w:rStyle w:val="FootnoteReference"/>
        </w:rPr>
        <w:footnoteReference w:id="186"/>
      </w:r>
      <w:r>
        <w:rPr>
          <w:rFonts w:ascii="Times New Roman" w:cs="David" w:eastAsia="David" w:hAnsi="Times New Roman"/>
          <w:sz w:val="24"/>
          <w:szCs w:val="24"/>
          <w:rtl/>
        </w:rPr>
        <w:t xml:space="preserve"> עוד המליץ שהמשטרה ורשויות המשטרה יעקבו אחר הרישומים וינתחו אותם, שמפקח המשטרה יבחן אותם, ושהמידע והניתוח יפורסמו.</w:t>
      </w:r>
      <w:r>
        <w:rPr>
          <w:rStyle w:val="FootnoteReference"/>
        </w:rPr>
        <w:footnoteReference w:id="187"/>
      </w:r>
    </w:p>
    <w:p>
      <w:pPr>
        <w:bidi/>
        <w:spacing w:after="120" w:line="360"/>
        <w:ind w:firstLine="0"/>
        <w:jc w:val="both"/>
      </w:pPr>
      <w:r>
        <w:rPr>
          <w:rFonts w:ascii="Times New Roman" w:cs="David" w:eastAsia="David" w:hAnsi="Times New Roman"/>
          <w:sz w:val="24"/>
          <w:szCs w:val="24"/>
          <w:rtl/>
        </w:rPr>
        <w:t xml:space="preserve">בית המשפט העליון הבריטי בחן אם סמכות חיפוש ללא חשד עומדת בדרישת החוקיות. בעניין </w:t>
      </w:r>
      <w:r>
        <w:rPr>
          <w:rFonts w:ascii="Times New Roman" w:cs="David" w:eastAsia="David" w:hAnsi="Times New Roman"/>
          <w:i/>
          <w:iCs/>
          <w:sz w:val="24"/>
          <w:szCs w:val="24"/>
          <w:rtl w:val="false"/>
        </w:rPr>
        <w:t xml:space="preserve">Roberts‎</w:t>
      </w:r>
      <w:r>
        <w:rPr>
          <w:rFonts w:ascii="Times New Roman" w:cs="David" w:eastAsia="David" w:hAnsi="Times New Roman"/>
          <w:sz w:val="24"/>
          <w:szCs w:val="24"/>
          <w:rtl/>
        </w:rPr>
        <w:t xml:space="preserve"> הכיר בית המשפט בכך שכל סמכות חיפוש אקראית נושאת סיכון שתופעל באופן שרירותי או מפלה במקרים מסוימים,</w:t>
      </w:r>
      <w:r>
        <w:rPr>
          <w:rStyle w:val="FootnoteReference"/>
        </w:rPr>
        <w:footnoteReference w:id="188"/>
      </w:r>
      <w:r>
        <w:rPr>
          <w:rFonts w:ascii="Times New Roman" w:cs="David" w:eastAsia="David" w:hAnsi="Times New Roman"/>
          <w:sz w:val="24"/>
          <w:szCs w:val="24"/>
          <w:rtl/>
        </w:rPr>
        <w:t xml:space="preserve"> אך קבע שיש לקרוא אותה יחד עם חובת הרשות לפעול בהתאם לזכויות האמנה ויחד עם חוק השוויון, שאוסר על שוטר להפלות על רקע גזעי.</w:t>
      </w:r>
      <w:r>
        <w:rPr>
          <w:rStyle w:val="FootnoteReference"/>
        </w:rPr>
        <w:footnoteReference w:id="189"/>
      </w:r>
      <w:r>
        <w:rPr>
          <w:rFonts w:ascii="Times New Roman" w:cs="David" w:eastAsia="David" w:hAnsi="Times New Roman"/>
          <w:sz w:val="24"/>
          <w:szCs w:val="24"/>
          <w:rtl/>
        </w:rPr>
        <w:t xml:space="preserve"> בית המשפט פירט את מערך הבקרות שהצדיק את המסקנה: הסמכה בכתב, תיעוד הראיות שעליהן היא נשענת, שקילה של נחיצות ומידתיות, הגבלה בזמן ובמקום, וכפיפות לביקורת.</w:t>
      </w:r>
      <w:r>
        <w:rPr>
          <w:rStyle w:val="FootnoteReference"/>
        </w:rPr>
        <w:footnoteReference w:id="190"/>
      </w:r>
    </w:p>
    <w:p>
      <w:pPr>
        <w:bidi/>
        <w:spacing w:after="120" w:line="360"/>
        <w:ind w:firstLine="0"/>
        <w:jc w:val="both"/>
      </w:pPr>
      <w:r>
        <w:rPr>
          <w:rFonts w:ascii="Times New Roman" w:cs="David" w:eastAsia="David" w:hAnsi="Times New Roman"/>
          <w:sz w:val="24"/>
          <w:szCs w:val="24"/>
          <w:rtl/>
        </w:rPr>
        <w:t xml:space="preserve">שתי קביעות נוספות בפסק הדין רלוונטיות במיוחד. בית המשפט ציין שככל האפשר יש לקיים תדרוך והתייעצות עם הקהילה לפני המבצע ואחריו, ושבתום תקופת ההסמכה יש להעריך את המבצע לפי השגת יעדיו, מספר החיפושים, מספר המעצרים, כמות הנשק שנתפס, שאלת חוסר המידתיות ואמון הקהילה.</w:t>
      </w:r>
      <w:r>
        <w:rPr>
          <w:rStyle w:val="FootnoteReference"/>
        </w:rPr>
        <w:footnoteReference w:id="191"/>
      </w:r>
      <w:r>
        <w:rPr>
          <w:rFonts w:ascii="Times New Roman" w:cs="David" w:eastAsia="David" w:hAnsi="Times New Roman"/>
          <w:sz w:val="24"/>
          <w:szCs w:val="24"/>
          <w:rtl/>
        </w:rPr>
        <w:t xml:space="preserve"> לגבי המפגש עצמו נקבע שהשוטר חייב למסור את שמו ואת תחנתו, להסביר את הסמכות ואת מטרת החיפוש, לתעד זאת בכתב ולאפשר לאדם לקבל עותק.</w:t>
      </w:r>
      <w:r>
        <w:rPr>
          <w:rStyle w:val="FootnoteReference"/>
        </w:rPr>
        <w:footnoteReference w:id="192"/>
      </w:r>
    </w:p>
    <w:p>
      <w:pPr>
        <w:bidi/>
        <w:spacing w:after="120" w:line="360"/>
        <w:ind w:firstLine="0"/>
        <w:jc w:val="both"/>
      </w:pPr>
      <w:r>
        <w:rPr>
          <w:rFonts w:ascii="Times New Roman" w:cs="David" w:eastAsia="David" w:hAnsi="Times New Roman"/>
          <w:sz w:val="24"/>
          <w:szCs w:val="24"/>
          <w:rtl/>
        </w:rPr>
        <w:t xml:space="preserve">הפער בין הכללים לבין היישום נותר גדול גם באנגליה. בדוח משנת 2021 מצא מפקח המשטרה שיותר משלושים וחמש שנה אחרי חקיקת סמכויות העיכוב והחיפוש, אף משטרה אינה מבינה עד הסוף את השפעת השימוש בהן, וחוסר המידתיות נמשך בלי שאף משטרה יכולה להסביר אותו באופן משכנע.</w:t>
      </w:r>
      <w:r>
        <w:rPr>
          <w:rStyle w:val="FootnoteReference"/>
        </w:rPr>
        <w:footnoteReference w:id="193"/>
      </w:r>
      <w:r>
        <w:rPr>
          <w:rFonts w:ascii="Times New Roman" w:cs="David" w:eastAsia="David" w:hAnsi="Times New Roman"/>
          <w:sz w:val="24"/>
          <w:szCs w:val="24"/>
          <w:rtl/>
        </w:rPr>
        <w:t xml:space="preserve"> הדוח מצא גם שהיעדר רישום של המוצא האתני בשיעור הולך וגדל של המקרים מסתיר את ההיקף האמיתי של חוסר המידתיות.</w:t>
      </w:r>
      <w:r>
        <w:rPr>
          <w:rStyle w:val="FootnoteReference"/>
        </w:rPr>
        <w:footnoteReference w:id="194"/>
      </w:r>
      <w:r>
        <w:rPr>
          <w:rFonts w:ascii="Times New Roman" w:cs="David" w:eastAsia="David" w:hAnsi="Times New Roman"/>
          <w:sz w:val="24"/>
          <w:szCs w:val="24"/>
          <w:rtl/>
        </w:rPr>
        <w:t xml:space="preserve"> ניתוח שפורסם בשנת 2026 מצא שברמה הארצית הסיכוי של אדם שחור לעבור עיכוב וחיפוש גבוה פי ארבעה מזה של אדם לבן, ושבלונדון שני שלישים מן העיכובים והחיפושים מסתיימים בלי פעולה נוספת.</w:t>
      </w:r>
      <w:r>
        <w:rPr>
          <w:rStyle w:val="FootnoteReference"/>
        </w:rPr>
        <w:footnoteReference w:id="195"/>
      </w:r>
      <w:r>
        <w:rPr>
          <w:rFonts w:ascii="Times New Roman" w:cs="David" w:eastAsia="David" w:hAnsi="Times New Roman"/>
          <w:sz w:val="24"/>
          <w:szCs w:val="24"/>
          <w:rtl/>
        </w:rPr>
        <w:t xml:space="preserve"> דוח לאמי הציע את הכלל שנגזר מכך: על מוסדות המשפט הפלילי לספק הסבר מבוסס ראיות לפערים בין קבוצות אתניות, ואם אין הסבר כזה, עליהם לבצע רפורמה שתצמצם את הפער.</w:t>
      </w:r>
      <w:r>
        <w:rPr>
          <w:rStyle w:val="FootnoteReference"/>
        </w:rPr>
        <w:footnoteReference w:id="196"/>
      </w:r>
    </w:p>
    <w:p>
      <w:pPr>
        <w:bidi/>
        <w:spacing w:after="120" w:line="360"/>
        <w:ind w:firstLine="0"/>
        <w:jc w:val="both"/>
      </w:pPr>
      <w:r>
        <w:rPr>
          <w:rFonts w:ascii="Times New Roman" w:cs="David" w:eastAsia="David" w:hAnsi="Times New Roman"/>
          <w:sz w:val="24"/>
          <w:szCs w:val="24"/>
          <w:rtl/>
        </w:rPr>
        <w:t xml:space="preserve">גם באנגליה התפתחה תמונה מורכבת בצד ההגנה החסרה. סגל מראה שבמשפט האנגלי מובילות דוקטרינת החובה הציבורית ודרישת הקרבה, בדרך כלל, לשלילת אחריות נזיקית של רשויות ציבוריות.</w:t>
      </w:r>
      <w:r>
        <w:rPr>
          <w:rStyle w:val="FootnoteReference"/>
        </w:rPr>
        <w:footnoteReference w:id="197"/>
      </w:r>
      <w:r>
        <w:rPr>
          <w:rFonts w:ascii="Times New Roman" w:cs="David" w:eastAsia="David" w:hAnsi="Times New Roman"/>
          <w:sz w:val="24"/>
          <w:szCs w:val="24"/>
          <w:rtl/>
        </w:rPr>
        <w:t xml:space="preserve"> בעניין </w:t>
      </w:r>
      <w:r>
        <w:rPr>
          <w:rFonts w:ascii="Times New Roman" w:cs="David" w:eastAsia="David" w:hAnsi="Times New Roman"/>
          <w:i/>
          <w:iCs/>
          <w:sz w:val="24"/>
          <w:szCs w:val="24"/>
          <w:rtl w:val="false"/>
        </w:rPr>
        <w:t xml:space="preserve">Michael‎</w:t>
      </w:r>
      <w:r>
        <w:rPr>
          <w:rFonts w:ascii="Times New Roman" w:cs="David" w:eastAsia="David" w:hAnsi="Times New Roman"/>
          <w:sz w:val="24"/>
          <w:szCs w:val="24"/>
          <w:rtl/>
        </w:rPr>
        <w:t xml:space="preserve"> נקבע שככלל אין למשטרה חובת זהירות בנזיקין כלפי מי שנפגע מעבריין, גם כאשר לא טיפלה כראוי במידע שהגיע אליה, אם כי הוכרו חריגים, ובהם קבלת אחריות כלפי אדם מסוים והסתמכותו עליה.</w:t>
      </w:r>
      <w:r>
        <w:rPr>
          <w:rStyle w:val="FootnoteReference"/>
        </w:rPr>
        <w:footnoteReference w:id="198"/>
      </w:r>
      <w:r>
        <w:rPr>
          <w:rFonts w:ascii="Times New Roman" w:cs="David" w:eastAsia="David" w:hAnsi="Times New Roman"/>
          <w:sz w:val="24"/>
          <w:szCs w:val="24"/>
          <w:rtl/>
        </w:rPr>
        <w:t xml:space="preserve"> מנגד, בעניין </w:t>
      </w:r>
      <w:r>
        <w:rPr>
          <w:rFonts w:ascii="Times New Roman" w:cs="David" w:eastAsia="David" w:hAnsi="Times New Roman"/>
          <w:i/>
          <w:iCs/>
          <w:sz w:val="24"/>
          <w:szCs w:val="24"/>
          <w:rtl w:val="false"/>
        </w:rPr>
        <w:t xml:space="preserve">DSD‎</w:t>
      </w:r>
      <w:r>
        <w:rPr>
          <w:rFonts w:ascii="Times New Roman" w:cs="David" w:eastAsia="David" w:hAnsi="Times New Roman"/>
          <w:sz w:val="24"/>
          <w:szCs w:val="24"/>
          <w:rtl/>
        </w:rPr>
        <w:t xml:space="preserve"> נקבע שחובת החקירה הנגזרת מן האיסור על יחס אכזרי ומשפיל מופרת גם בשל כשלים מבצעיים חמורים בחקירה, בלי צורך להוכיח פגם מבני או שיטתי.</w:t>
      </w:r>
      <w:r>
        <w:rPr>
          <w:rStyle w:val="FootnoteReference"/>
        </w:rPr>
        <w:footnoteReference w:id="199"/>
      </w:r>
      <w:r>
        <w:rPr>
          <w:rFonts w:ascii="Times New Roman" w:cs="David" w:eastAsia="David" w:hAnsi="Times New Roman"/>
          <w:sz w:val="24"/>
          <w:szCs w:val="24"/>
          <w:rtl/>
        </w:rPr>
        <w:t xml:space="preserve"> השילוב בין שתי ההלכות יוצר מסלול לביקורת על אכיפת חסר, שיש לבחון לפי תנאיו ולפי ההבדל בין אחריות בנזיקין לבין חובות מכוח חוק זכויות האדם.</w:t>
      </w:r>
    </w:p>
    <w:p>
      <w:pPr>
        <w:pStyle w:val="Heading2"/>
        <w:bidi/>
        <w:spacing w:after="160" w:before="240"/>
        <w:jc w:val="right"/>
      </w:pPr>
      <w:r>
        <w:rPr>
          <w:rFonts w:ascii="Times New Roman" w:cs="David" w:eastAsia="David" w:hAnsi="Times New Roman"/>
          <w:b/>
          <w:bCs/>
          <w:sz w:val="28"/>
          <w:szCs w:val="28"/>
          <w:rtl/>
        </w:rPr>
        <w:t xml:space="preserve">6.4 מסקנות ההשוואה והשלכותיהן על רפורמת אמו"ן</w:t>
      </w:r>
    </w:p>
    <w:p>
      <w:pPr>
        <w:bidi/>
        <w:spacing w:after="120" w:line="360"/>
        <w:ind w:firstLine="0"/>
        <w:jc w:val="both"/>
      </w:pPr>
      <w:r>
        <w:rPr>
          <w:rFonts w:ascii="Times New Roman" w:cs="David" w:eastAsia="David" w:hAnsi="Times New Roman"/>
          <w:sz w:val="24"/>
          <w:szCs w:val="24"/>
          <w:rtl/>
        </w:rPr>
        <w:t xml:space="preserve">הלקח הראשון נוגע לבחירת יעדי האכיפה. דוח האקדמיות הלאומיות מלמד שמיקוד באנשים או במקומות בסיכון גבוה צפוי להיות מלווה בפערים בין קבוצות בהיקף המפגשים.</w:t>
      </w:r>
      <w:r>
        <w:rPr>
          <w:rStyle w:val="FootnoteReference"/>
        </w:rPr>
        <w:footnoteReference w:id="200"/>
      </w:r>
      <w:r>
        <w:rPr>
          <w:rFonts w:ascii="Times New Roman" w:cs="David" w:eastAsia="David" w:hAnsi="Times New Roman"/>
          <w:sz w:val="24"/>
          <w:szCs w:val="24"/>
          <w:rtl/>
        </w:rPr>
        <w:t xml:space="preserve"> אמו"ן מסדירה את שלב הבחירה באמצעות ביסוס בנתונים, אישור הפוליגון ותיקוף מול הציבור,</w:t>
      </w:r>
      <w:r>
        <w:rPr>
          <w:rStyle w:val="FootnoteReference"/>
        </w:rPr>
        <w:footnoteReference w:id="201"/>
      </w:r>
      <w:r>
        <w:rPr>
          <w:rFonts w:ascii="Times New Roman" w:cs="David" w:eastAsia="David" w:hAnsi="Times New Roman"/>
          <w:sz w:val="24"/>
          <w:szCs w:val="24"/>
          <w:rtl/>
        </w:rPr>
        <w:t xml:space="preserve"> ואלה רכיבים שמסייעים להנמקת היעדים ולבדיקתם. אין בחומר שנבחן בסיס לדרג את ההסדר הישראלי מול כלל התוכניות בארצות הברית או בבריטניה. השאלה הרלוונטית היא אם בחירת היעד מלווה גם בכללים להפעלת הסמכות בתוך האזור שנבחר.</w:t>
      </w:r>
    </w:p>
    <w:p>
      <w:pPr>
        <w:bidi/>
        <w:spacing w:after="120" w:line="360"/>
        <w:ind w:firstLine="0"/>
        <w:jc w:val="both"/>
      </w:pPr>
      <w:r>
        <w:rPr>
          <w:rFonts w:ascii="Times New Roman" w:cs="David" w:eastAsia="David" w:hAnsi="Times New Roman"/>
          <w:sz w:val="24"/>
          <w:szCs w:val="24"/>
          <w:rtl/>
        </w:rPr>
        <w:t xml:space="preserve">הלקח השני נוגע לשיקול הדעת. הקוד הבריטי אוסר במפורש לבסס חשד סביר על מאפיינים אישיים או על הכללות, וקובע זאת כהוראת עבודה ולא כעיקרון כללי.</w:t>
      </w:r>
      <w:r>
        <w:rPr>
          <w:rStyle w:val="FootnoteReference"/>
        </w:rPr>
        <w:footnoteReference w:id="202"/>
      </w:r>
      <w:r>
        <w:rPr>
          <w:rFonts w:ascii="Times New Roman" w:cs="David" w:eastAsia="David" w:hAnsi="Times New Roman"/>
          <w:sz w:val="24"/>
          <w:szCs w:val="24"/>
          <w:rtl/>
        </w:rPr>
        <w:t xml:space="preserve"> בישראל נגזר כלל דומה מן הפסיקה, ובעניין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נקבע שהפעלת סמכות בלי אמות מידה ברורות וגלויות הובילה לשימוש סלקטיבי.</w:t>
      </w:r>
      <w:r>
        <w:rPr>
          <w:rStyle w:val="FootnoteReference"/>
        </w:rPr>
        <w:footnoteReference w:id="203"/>
      </w:r>
      <w:r>
        <w:rPr>
          <w:rFonts w:ascii="Times New Roman" w:cs="David" w:eastAsia="David" w:hAnsi="Times New Roman"/>
          <w:sz w:val="24"/>
          <w:szCs w:val="24"/>
          <w:rtl/>
        </w:rPr>
        <w:t xml:space="preserve"> ההבדל אינו בתוכן הנורמה אלא במקומה. נורמה שנמצאת בפסק דין צריכה להיות מתורגמת להנחיות ולהכשרה, כדי שתפעל בעבודה היומיומית ולא רק בביקורת שיפוטית לאחר מעשה.</w:t>
      </w:r>
    </w:p>
    <w:p>
      <w:pPr>
        <w:bidi/>
        <w:spacing w:after="120" w:line="360"/>
        <w:ind w:firstLine="0"/>
        <w:jc w:val="both"/>
      </w:pPr>
      <w:r>
        <w:rPr>
          <w:rFonts w:ascii="Times New Roman" w:cs="David" w:eastAsia="David" w:hAnsi="Times New Roman"/>
          <w:sz w:val="24"/>
          <w:szCs w:val="24"/>
          <w:rtl/>
        </w:rPr>
        <w:t xml:space="preserve">הלקח השלישי, ואולי החשוב ביותר, נוגע לתיעוד. מקפרסון המליץ לתעד כל עיכוב, לרשום את סיבתו, את תוצאתו ואת הזהות האתנית שהאדם מגדיר לעצמו, ולמסור לו עותק,</w:t>
      </w:r>
      <w:r>
        <w:rPr>
          <w:rStyle w:val="FootnoteReference"/>
        </w:rPr>
        <w:footnoteReference w:id="204"/>
      </w:r>
      <w:r>
        <w:rPr>
          <w:rFonts w:ascii="Times New Roman" w:cs="David" w:eastAsia="David" w:hAnsi="Times New Roman"/>
          <w:sz w:val="24"/>
          <w:szCs w:val="24"/>
          <w:rtl/>
        </w:rPr>
        <w:t xml:space="preserve"> וקוד </w:t>
      </w:r>
      <w:r>
        <w:rPr>
          <w:rFonts w:ascii="Times New Roman" w:cs="David" w:eastAsia="David" w:hAnsi="Times New Roman"/>
          <w:sz w:val="24"/>
          <w:szCs w:val="24"/>
          <w:rtl w:val="false"/>
        </w:rPr>
        <w:t xml:space="preserve">A‎</w:t>
      </w:r>
      <w:r>
        <w:rPr>
          <w:rFonts w:ascii="Times New Roman" w:cs="David" w:eastAsia="David" w:hAnsi="Times New Roman"/>
          <w:sz w:val="24"/>
          <w:szCs w:val="24"/>
          <w:rtl/>
        </w:rPr>
        <w:t xml:space="preserve"> הפך את הרישום לבסיס הפיקוח.</w:t>
      </w:r>
      <w:r>
        <w:rPr>
          <w:rStyle w:val="FootnoteReference"/>
        </w:rPr>
        <w:footnoteReference w:id="205"/>
      </w:r>
      <w:r>
        <w:rPr>
          <w:rFonts w:ascii="Times New Roman" w:cs="David" w:eastAsia="David" w:hAnsi="Times New Roman"/>
          <w:sz w:val="24"/>
          <w:szCs w:val="24"/>
          <w:rtl/>
        </w:rPr>
        <w:t xml:space="preserve"> לתיעוד יש שני תפקידים. הוא מרסן את השוטר בזמן אמת, משום שהוא מחייב אותו לנסח נימוק, והוא יוצר את הנתונים שבלעדיהם אי אפשר לזהות פערים. כפי שהראה דוח הפיקוח הבריטי, כשהתיעוד חסר, הפערים אינם נעלמים. הם רק מפסיקים להיות מדידים.</w:t>
      </w:r>
      <w:r>
        <w:rPr>
          <w:rStyle w:val="FootnoteReference"/>
        </w:rPr>
        <w:footnoteReference w:id="206"/>
      </w:r>
    </w:p>
    <w:p>
      <w:pPr>
        <w:bidi/>
        <w:spacing w:after="120" w:line="360"/>
        <w:ind w:firstLine="0"/>
        <w:jc w:val="both"/>
      </w:pPr>
      <w:r>
        <w:rPr>
          <w:rFonts w:ascii="Times New Roman" w:cs="David" w:eastAsia="David" w:hAnsi="Times New Roman"/>
          <w:sz w:val="24"/>
          <w:szCs w:val="24"/>
          <w:rtl/>
        </w:rPr>
        <w:t xml:space="preserve">הלקח הרביעי נוגע לפיקוח. בשתי השיטות הוצגו כלים לפיקוח ולבירור פערים, חלקם חובות קיימות וחלקם המלצות: בחינה קהילתית של הרישומים,</w:t>
      </w:r>
      <w:r>
        <w:rPr>
          <w:rStyle w:val="FootnoteReference"/>
        </w:rPr>
        <w:footnoteReference w:id="207"/>
      </w:r>
      <w:r>
        <w:rPr>
          <w:rFonts w:ascii="Times New Roman" w:cs="David" w:eastAsia="David" w:hAnsi="Times New Roman"/>
          <w:sz w:val="24"/>
          <w:szCs w:val="24"/>
          <w:rtl/>
        </w:rPr>
        <w:t xml:space="preserve"> כלל של "הסבר או רפורמה",</w:t>
      </w:r>
      <w:r>
        <w:rPr>
          <w:rStyle w:val="FootnoteReference"/>
        </w:rPr>
        <w:footnoteReference w:id="208"/>
      </w:r>
      <w:r>
        <w:rPr>
          <w:rFonts w:ascii="Times New Roman" w:cs="David" w:eastAsia="David" w:hAnsi="Times New Roman"/>
          <w:sz w:val="24"/>
          <w:szCs w:val="24"/>
          <w:rtl/>
        </w:rPr>
        <w:t xml:space="preserve"> ומפקח חיצוני שממנה בית משפט.</w:t>
      </w:r>
      <w:r>
        <w:rPr>
          <w:rStyle w:val="FootnoteReference"/>
        </w:rPr>
        <w:footnoteReference w:id="209"/>
      </w:r>
      <w:r>
        <w:rPr>
          <w:rFonts w:ascii="Times New Roman" w:cs="David" w:eastAsia="David" w:hAnsi="Times New Roman"/>
          <w:sz w:val="24"/>
          <w:szCs w:val="24"/>
          <w:rtl/>
        </w:rPr>
        <w:t xml:space="preserve"> אמו"ן פיתחה מערכת מדידה מתקדמת, שמציגה לתחנה את ביצועיה בזמן אמת, אבל היא מודדת פשיעה וביצוע של תוכניות ואינה מודדת את התפלגות המפגשים בין קבוצות אוכלוסייה.</w:t>
      </w:r>
      <w:r>
        <w:rPr>
          <w:rStyle w:val="FootnoteReference"/>
        </w:rPr>
        <w:footnoteReference w:id="210"/>
      </w:r>
      <w:r>
        <w:rPr>
          <w:rFonts w:ascii="Times New Roman" w:cs="David" w:eastAsia="David" w:hAnsi="Times New Roman"/>
          <w:sz w:val="24"/>
          <w:szCs w:val="24"/>
          <w:rtl/>
        </w:rPr>
        <w:t xml:space="preserve"> המערכת הקיימת יכולה לשמש בסיס להרחבת המדידה, אך יש לברר אילו נתונים חסרים ואילו התאמות טכנולוגיות ומשפטיות נדרשות.</w:t>
      </w:r>
    </w:p>
    <w:p>
      <w:pPr>
        <w:bidi/>
        <w:spacing w:after="120" w:line="360"/>
        <w:ind w:firstLine="0"/>
        <w:jc w:val="both"/>
      </w:pPr>
      <w:r>
        <w:rPr>
          <w:rFonts w:ascii="Times New Roman" w:cs="David" w:eastAsia="David" w:hAnsi="Times New Roman"/>
          <w:sz w:val="24"/>
          <w:szCs w:val="24"/>
          <w:rtl/>
        </w:rPr>
        <w:t xml:space="preserve">בשאלת ההגנה החסרה יש להבחין בין מסלולי האחריות. בארצות הברית, הלכת </w:t>
      </w:r>
      <w:r>
        <w:rPr>
          <w:rFonts w:ascii="Times New Roman" w:cs="David" w:eastAsia="David" w:hAnsi="Times New Roman"/>
          <w:i/>
          <w:iCs/>
          <w:sz w:val="24"/>
          <w:szCs w:val="24"/>
          <w:rtl w:val="false"/>
        </w:rPr>
        <w:t xml:space="preserve">DeShaney‎</w:t>
      </w:r>
      <w:r>
        <w:rPr>
          <w:rFonts w:ascii="Times New Roman" w:cs="David" w:eastAsia="David" w:hAnsi="Times New Roman"/>
          <w:sz w:val="24"/>
          <w:szCs w:val="24"/>
          <w:rtl/>
        </w:rPr>
        <w:t xml:space="preserve"> מגבילה את האפשרות לטעון לזכות חיובית להגנה.</w:t>
      </w:r>
      <w:r>
        <w:rPr>
          <w:rStyle w:val="FootnoteReference"/>
        </w:rPr>
        <w:footnoteReference w:id="211"/>
      </w:r>
      <w:r>
        <w:rPr>
          <w:rFonts w:ascii="Times New Roman" w:cs="David" w:eastAsia="David" w:hAnsi="Times New Roman"/>
          <w:sz w:val="24"/>
          <w:szCs w:val="24"/>
          <w:rtl/>
        </w:rPr>
        <w:t xml:space="preserve"> באנגליה, הלכת </w:t>
      </w:r>
      <w:r>
        <w:rPr>
          <w:rFonts w:ascii="Times New Roman" w:cs="David" w:eastAsia="David" w:hAnsi="Times New Roman"/>
          <w:i/>
          <w:iCs/>
          <w:sz w:val="24"/>
          <w:szCs w:val="24"/>
          <w:rtl w:val="false"/>
        </w:rPr>
        <w:t xml:space="preserve">Michael‎</w:t>
      </w:r>
      <w:r>
        <w:rPr>
          <w:rFonts w:ascii="Times New Roman" w:cs="David" w:eastAsia="David" w:hAnsi="Times New Roman"/>
          <w:sz w:val="24"/>
          <w:szCs w:val="24"/>
          <w:rtl/>
        </w:rPr>
        <w:t xml:space="preserve"> מגבילה את חובת הזהירות בגין אי-מניעת נזק שגרם צד שלישי,</w:t>
      </w:r>
      <w:r>
        <w:rPr>
          <w:rStyle w:val="FootnoteReference"/>
        </w:rPr>
        <w:footnoteReference w:id="212"/>
      </w:r>
      <w:r>
        <w:rPr>
          <w:rFonts w:ascii="Times New Roman" w:cs="David" w:eastAsia="David" w:hAnsi="Times New Roman"/>
          <w:sz w:val="24"/>
          <w:szCs w:val="24"/>
          <w:rtl/>
        </w:rPr>
        <w:t xml:space="preserve"> ואילו הלכת </w:t>
      </w:r>
      <w:r>
        <w:rPr>
          <w:rFonts w:ascii="Times New Roman" w:cs="David" w:eastAsia="David" w:hAnsi="Times New Roman"/>
          <w:i/>
          <w:iCs/>
          <w:sz w:val="24"/>
          <w:szCs w:val="24"/>
          <w:rtl w:val="false"/>
        </w:rPr>
        <w:t xml:space="preserve">DSD‎</w:t>
      </w:r>
      <w:r>
        <w:rPr>
          <w:rFonts w:ascii="Times New Roman" w:cs="David" w:eastAsia="David" w:hAnsi="Times New Roman"/>
          <w:sz w:val="24"/>
          <w:szCs w:val="24"/>
          <w:rtl/>
        </w:rPr>
        <w:t xml:space="preserve"> עוסקת בחובת החקירה מכוח חוק זכויות האדם ובהפרתה בשל כשלים ממשיים.</w:t>
      </w:r>
      <w:r>
        <w:rPr>
          <w:rStyle w:val="FootnoteReference"/>
        </w:rPr>
        <w:footnoteReference w:id="213"/>
      </w:r>
      <w:r>
        <w:rPr>
          <w:rFonts w:ascii="Times New Roman" w:cs="David" w:eastAsia="David" w:hAnsi="Times New Roman"/>
          <w:sz w:val="24"/>
          <w:szCs w:val="24"/>
          <w:rtl/>
        </w:rPr>
        <w:t xml:space="preserve"> בישראל המצב שונה. סגל מוצא שבישראל, בשונה מארצות הברית ומאנגליה, קיימת מגמה של אחריות נזיקית רחבה של רשויות ציבוריות, גם בפעילות של כוחות הביטחון וההצלה.</w:t>
      </w:r>
      <w:r>
        <w:rPr>
          <w:rStyle w:val="FootnoteReference"/>
        </w:rPr>
        <w:footnoteReference w:id="214"/>
      </w:r>
      <w:r>
        <w:rPr>
          <w:rFonts w:ascii="Times New Roman" w:cs="David" w:eastAsia="David" w:hAnsi="Times New Roman"/>
          <w:sz w:val="24"/>
          <w:szCs w:val="24"/>
          <w:rtl/>
        </w:rPr>
        <w:t xml:space="preserve"> עם זאת, גם בישראל מבחינה הפסיקה בין קביעת סדרי עדיפויות, שהיא עניין של מדיניות ושל שיקול דעת רחב, לבין ביצוע פעולה מסוימת.</w:t>
      </w:r>
      <w:r>
        <w:rPr>
          <w:rStyle w:val="FootnoteReference"/>
        </w:rPr>
        <w:footnoteReference w:id="215"/>
      </w:r>
      <w:r>
        <w:rPr>
          <w:rFonts w:ascii="Times New Roman" w:cs="David" w:eastAsia="David" w:hAnsi="Times New Roman"/>
          <w:sz w:val="24"/>
          <w:szCs w:val="24"/>
          <w:rtl/>
        </w:rPr>
        <w:t xml:space="preserve"> שיעור כתבי אישום של 3% עד 5% בעבירות ירי בשנים שנבדקו מעורר שאלה על איכות ההגנה שהקהילה מקבלת.</w:t>
      </w:r>
      <w:r>
        <w:rPr>
          <w:rStyle w:val="FootnoteReference"/>
        </w:rPr>
        <w:footnoteReference w:id="216"/>
      </w:r>
      <w:r>
        <w:rPr>
          <w:rFonts w:ascii="Times New Roman" w:cs="David" w:eastAsia="David" w:hAnsi="Times New Roman"/>
          <w:sz w:val="24"/>
          <w:szCs w:val="24"/>
          <w:rtl/>
        </w:rPr>
        <w:t xml:space="preserve"> הנתון אינו מקים כשלעצמו עילת תביעה, אבל הוא מצדיק דיון בחובות המשטרה ובמנגנוני הביקורת על מילוין, מעבר למדידת הפעילות הארגונית.</w:t>
      </w:r>
    </w:p>
    <w:p>
      <w:pPr>
        <w:bidi/>
        <w:spacing w:after="120" w:line="360"/>
        <w:ind w:firstLine="0"/>
        <w:jc w:val="both"/>
      </w:pPr>
      <w:r>
        <w:rPr>
          <w:rFonts w:ascii="Times New Roman" w:cs="David" w:eastAsia="David" w:hAnsi="Times New Roman"/>
          <w:sz w:val="24"/>
          <w:szCs w:val="24"/>
          <w:rtl/>
        </w:rPr>
        <w:t xml:space="preserve">לבסוף, ההשוואה מחייבת זהירות. הפערים בארצות הברית ובבריטניה נדונים על רקע היסטוריה גזעית ייחודית ובמסגרת מוסדית שונה, ולא כל כלי שפותח שם מתאים לישראל. יונתן-זמיר ופרי מזכירים שדוח האקדמיות הלאומיות בחן, לצד הפשיעה ואי-הסדר, גם חוקיות, תגובות קהילה והטיה גזעית,</w:t>
      </w:r>
      <w:r>
        <w:rPr>
          <w:rStyle w:val="FootnoteReference"/>
        </w:rPr>
        <w:footnoteReference w:id="217"/>
      </w:r>
      <w:r>
        <w:rPr>
          <w:rFonts w:ascii="Times New Roman" w:cs="David" w:eastAsia="David" w:hAnsi="Times New Roman"/>
          <w:sz w:val="24"/>
          <w:szCs w:val="24"/>
          <w:rtl/>
        </w:rPr>
        <w:t xml:space="preserve"> וזו המסגרת שההשוואה מצדיקה.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218"/>
      </w:r>
      <w:r>
        <w:rPr>
          <w:rFonts w:ascii="Times New Roman" w:cs="David" w:eastAsia="David" w:hAnsi="Times New Roman"/>
          <w:sz w:val="24"/>
          <w:szCs w:val="24"/>
          <w:rtl/>
        </w:rPr>
        <w:t xml:space="preserve"> ודוח הפיקוח משנת 2021 מצא שגם אחרי עשרות שנים לא הוסברו עד הסוף ההשפעה של סמכויות העיכוב והחיפוש והפערים בהפעלתן.</w:t>
      </w:r>
      <w:r>
        <w:rPr>
          <w:rStyle w:val="FootnoteReference"/>
        </w:rPr>
        <w:footnoteReference w:id="219"/>
      </w:r>
      <w:r>
        <w:rPr>
          <w:rFonts w:ascii="Times New Roman" w:cs="David" w:eastAsia="David" w:hAnsi="Times New Roman"/>
          <w:sz w:val="24"/>
          <w:szCs w:val="24"/>
          <w:rtl/>
        </w:rPr>
        <w:t xml:space="preserve"> מכאן שלא די בקביעת סמכות ובהקמת מנגנון ראשוני. באמו"ן אפשר לבנות את מנגנוני התיעוד והפיקוח כחלק מן הפעילות השוטפת, בלי להמתין לכשל שיחייב בדיקה בדיעבד.</w:t>
      </w:r>
    </w:p>
    <w:p>
      <w:pPr>
        <w:pStyle w:val="Heading1"/>
        <w:pageBreakBefore/>
        <w:bidi/>
        <w:spacing w:after="160" w:before="240"/>
        <w:jc w:val="center"/>
      </w:pPr>
      <w:r>
        <w:rPr>
          <w:rFonts w:ascii="Times New Roman" w:cs="David" w:eastAsia="David" w:hAnsi="Times New Roman"/>
          <w:b/>
          <w:bCs/>
          <w:sz w:val="32"/>
          <w:szCs w:val="32"/>
          <w:rtl/>
        </w:rPr>
        <w:t xml:space="preserve">7. דיון: כשל במודל העקרוני או כשל ביישום?</w:t>
      </w:r>
    </w:p>
    <w:p>
      <w:pPr>
        <w:pStyle w:val="Heading2"/>
        <w:bidi/>
        <w:spacing w:after="160" w:before="240"/>
        <w:jc w:val="right"/>
      </w:pPr>
      <w:r>
        <w:rPr>
          <w:rFonts w:ascii="Times New Roman" w:cs="David" w:eastAsia="David" w:hAnsi="Times New Roman"/>
          <w:b/>
          <w:bCs/>
          <w:sz w:val="28"/>
          <w:szCs w:val="28"/>
          <w:rtl/>
        </w:rPr>
        <w:t xml:space="preserve">7.1 תוקפו של המודל העקרוני</w:t>
      </w:r>
    </w:p>
    <w:p>
      <w:pPr>
        <w:bidi/>
        <w:spacing w:after="120" w:line="360"/>
        <w:ind w:firstLine="0"/>
        <w:jc w:val="both"/>
      </w:pPr>
      <w:r>
        <w:rPr>
          <w:rFonts w:ascii="Times New Roman" w:cs="David" w:eastAsia="David" w:hAnsi="Times New Roman"/>
          <w:sz w:val="24"/>
          <w:szCs w:val="24"/>
          <w:rtl/>
        </w:rPr>
        <w:t xml:space="preserve">שאלת המחקר מחייבת הכרעה, ולא רק סיכום של הממצאים. ההכרעה נבנית בשלושה שלבים. תחילה ייבחן התוקף של המודל העקרוני. לאחר מכן ייבחנו רכיבי היישום, אחד אחד. לבסוף תיבחן אפשרות שלישית, שלפיה מקור המגבלה אינו במודל ואינו ביישום, אלא בהיקף שהמודל מכסה מלכתחילה. שלושת השלבים נדרשים משום שכל אחת מן התשובות מובילה למסקנות מדיניות שונות.</w:t>
      </w:r>
    </w:p>
    <w:p>
      <w:pPr>
        <w:bidi/>
        <w:spacing w:after="120" w:line="360"/>
        <w:ind w:firstLine="0"/>
        <w:jc w:val="both"/>
      </w:pPr>
      <w:r>
        <w:rPr>
          <w:rFonts w:ascii="Times New Roman" w:cs="David" w:eastAsia="David" w:hAnsi="Times New Roman"/>
          <w:sz w:val="24"/>
          <w:szCs w:val="24"/>
          <w:rtl/>
        </w:rPr>
        <w:t xml:space="preserve">הראיות מחייבות זהירות לפני שמייחסים את כל הקשיים למודל העקרוני. שיטור מוכוון בעיות נמצא קשור לירידה מובהקת בפשיעה ובאי-סדר על פני 34 מחקרי הערכה, והממצא חוזר בסוגים שונים של בעיות וביחידות ניתוח שונות.</w:t>
      </w:r>
      <w:r>
        <w:rPr>
          <w:rStyle w:val="FootnoteReference"/>
        </w:rPr>
        <w:footnoteReference w:id="220"/>
      </w:r>
      <w:r>
        <w:rPr>
          <w:rFonts w:ascii="Times New Roman" w:cs="David" w:eastAsia="David" w:hAnsi="Times New Roman"/>
          <w:sz w:val="24"/>
          <w:szCs w:val="24"/>
          <w:rtl/>
        </w:rPr>
        <w:t xml:space="preserve"> גם הרכיבים האחרים שאמו"ן משלבת נשענים על ראיות: שיטור נקודות חמות והרתעה ממוקדת נמצאו יעילים במטא-אנליזות.</w:t>
      </w:r>
      <w:r>
        <w:rPr>
          <w:rStyle w:val="FootnoteReference"/>
        </w:rPr>
        <w:footnoteReference w:id="221"/>
      </w:r>
      <w:r>
        <w:rPr>
          <w:rFonts w:ascii="Times New Roman" w:cs="David" w:eastAsia="David" w:hAnsi="Times New Roman"/>
          <w:sz w:val="24"/>
          <w:szCs w:val="24"/>
          <w:rtl/>
        </w:rPr>
        <w:t xml:space="preserve"> הצטברות המחקרים מצדיקה להמשיך להשתמש בגישות האלה, אבל אינה פוטרת מבדיקת התאמתן לכל סוג עבירה ולכל סביבה.</w:t>
      </w:r>
    </w:p>
    <w:p>
      <w:pPr>
        <w:bidi/>
        <w:spacing w:after="120" w:line="360"/>
        <w:ind w:firstLine="0"/>
        <w:jc w:val="both"/>
      </w:pPr>
      <w:r>
        <w:rPr>
          <w:rFonts w:ascii="Times New Roman" w:cs="David" w:eastAsia="David" w:hAnsi="Times New Roman"/>
          <w:sz w:val="24"/>
          <w:szCs w:val="24"/>
          <w:rtl/>
        </w:rPr>
        <w:t xml:space="preserve">גם הנתונים הישראליים מחייבים להפריד בין המודל לבין תנאי היישום. בסל הרכוש נמצאו תוצאות חיוביות בחלק מן התחנות, כולל ירידה מחוץ לאזור היעד ובלי עדות להתקה.</w:t>
      </w:r>
      <w:r>
        <w:rPr>
          <w:rStyle w:val="FootnoteReference"/>
        </w:rPr>
        <w:footnoteReference w:id="222"/>
      </w:r>
      <w:r>
        <w:rPr>
          <w:rFonts w:ascii="Times New Roman" w:cs="David" w:eastAsia="David" w:hAnsi="Times New Roman"/>
          <w:sz w:val="24"/>
          <w:szCs w:val="24"/>
          <w:rtl/>
        </w:rPr>
        <w:t xml:space="preserve"> הצלחה בסל אחד מלמדת שהמודל יכול להועיל בתנאים מסוימים, אך אינה מוכיחה שכל קושי בסל אחר נובע מביצוע לקוי. הבדלים בתוצאות יכולים לנבוע ממשאבים ומאיכות ההטמעה, אבל גם מסוג העבירה ומהתאמת הכלים אליה. לכן יש לבחון את שתי האפשרויות, ולא להסיק מהצלחה מקומית שההיגיון התיאורטי חסין מביקורת.</w:t>
      </w:r>
    </w:p>
    <w:p>
      <w:pPr>
        <w:bidi/>
        <w:spacing w:after="120" w:line="360"/>
        <w:ind w:firstLine="0"/>
        <w:jc w:val="both"/>
      </w:pPr>
      <w:r>
        <w:rPr>
          <w:rFonts w:ascii="Times New Roman" w:cs="David" w:eastAsia="David" w:hAnsi="Times New Roman"/>
          <w:sz w:val="24"/>
          <w:szCs w:val="24"/>
          <w:rtl/>
        </w:rPr>
        <w:t xml:space="preserve">גם החוקרים עצמם הסבירו את הכישלונות ביישום. בסל האלימות הם ייחסו את היעדר האפקט ליישום חלקי ולהגדרה רחבה מדי של הסל,</w:t>
      </w:r>
      <w:r>
        <w:rPr>
          <w:rStyle w:val="FootnoteReference"/>
        </w:rPr>
        <w:footnoteReference w:id="223"/>
      </w:r>
      <w:r>
        <w:rPr>
          <w:rFonts w:ascii="Times New Roman" w:cs="David" w:eastAsia="David" w:hAnsi="Times New Roman"/>
          <w:sz w:val="24"/>
          <w:szCs w:val="24"/>
          <w:rtl/>
        </w:rPr>
        <w:t xml:space="preserve"> ובסל הירי הצביעו על היעדר תוכנית פעולה שכוללת את כל הרכיבים הדרושים.</w:t>
      </w:r>
      <w:r>
        <w:rPr>
          <w:rStyle w:val="FootnoteReference"/>
        </w:rPr>
        <w:footnoteReference w:id="224"/>
      </w:r>
      <w:r>
        <w:rPr>
          <w:rFonts w:ascii="Times New Roman" w:cs="David" w:eastAsia="David" w:hAnsi="Times New Roman"/>
          <w:sz w:val="24"/>
          <w:szCs w:val="24"/>
          <w:rtl/>
        </w:rPr>
        <w:t xml:space="preserve"> ההסבר נשען על ניתוח התוכניות ועל עבודת השדה שנעשתה במסגרת ההערכה. הקרבה לתהליך מאפשרת לזהות קשיים מעשיים, אך אינה מחליפה בחינה של שיטת המחקר ושל הסברים חלופיים.</w:t>
      </w:r>
    </w:p>
    <w:p>
      <w:pPr>
        <w:bidi/>
        <w:spacing w:after="120" w:line="360"/>
        <w:ind w:firstLine="0"/>
        <w:jc w:val="both"/>
      </w:pPr>
      <w:r>
        <w:rPr>
          <w:rFonts w:ascii="Times New Roman" w:cs="David" w:eastAsia="David" w:hAnsi="Times New Roman"/>
          <w:sz w:val="24"/>
          <w:szCs w:val="24"/>
          <w:rtl/>
        </w:rPr>
        <w:t xml:space="preserve">יש להוסיף סייג. תוקף כללי של מודל אינו מבטיח תוקף בכל סביבה. ועדת האקדמיות הלאומיות קבעה שגם אסטרטגיות יזומות שאינן מפרות זכויות חוקתיות עלולות לשחוק ערכים משפטיים,</w:t>
      </w:r>
      <w:r>
        <w:rPr>
          <w:rStyle w:val="FootnoteReference"/>
        </w:rPr>
        <w:footnoteReference w:id="225"/>
      </w:r>
      <w:r>
        <w:rPr>
          <w:rFonts w:ascii="Times New Roman" w:cs="David" w:eastAsia="David" w:hAnsi="Times New Roman"/>
          <w:sz w:val="24"/>
          <w:szCs w:val="24"/>
          <w:rtl/>
        </w:rPr>
        <w:t xml:space="preserve"> ושמיקוד באנשים או במקומות בסיכון גבוה צפוי ליצור פערים גזעיים גדולים במפגשים.</w:t>
      </w:r>
      <w:r>
        <w:rPr>
          <w:rStyle w:val="FootnoteReference"/>
        </w:rPr>
        <w:footnoteReference w:id="226"/>
      </w:r>
      <w:r>
        <w:rPr>
          <w:rFonts w:ascii="Times New Roman" w:cs="David" w:eastAsia="David" w:hAnsi="Times New Roman"/>
          <w:sz w:val="24"/>
          <w:szCs w:val="24"/>
          <w:rtl/>
        </w:rPr>
        <w:t xml:space="preserve"> המסקנה שהמודל תקף אינה מסקנה שהוא שלם, והיא אינה פוטרת מבחינה של תוצאות הלוואי שלו.</w:t>
      </w:r>
    </w:p>
    <w:p>
      <w:pPr>
        <w:bidi/>
        <w:spacing w:after="120" w:line="360"/>
        <w:ind w:firstLine="0"/>
        <w:jc w:val="both"/>
      </w:pPr>
      <w:r>
        <w:rPr>
          <w:rFonts w:ascii="Times New Roman" w:cs="David" w:eastAsia="David" w:hAnsi="Times New Roman"/>
          <w:sz w:val="24"/>
          <w:szCs w:val="24"/>
          <w:rtl/>
        </w:rPr>
        <w:t xml:space="preserve">לצד הסייג יש ממצא שמחזק את המודל דווקא בהיבט הרגיש. בהתערבויות של פתרון בעיות כמעט לא נמצאו השפעות שליליות על עמדות הציבור.</w:t>
      </w:r>
      <w:r>
        <w:rPr>
          <w:rStyle w:val="FootnoteReference"/>
        </w:rPr>
        <w:footnoteReference w:id="227"/>
      </w:r>
      <w:r>
        <w:rPr>
          <w:rFonts w:ascii="Times New Roman" w:cs="David" w:eastAsia="David" w:hAnsi="Times New Roman"/>
          <w:sz w:val="24"/>
          <w:szCs w:val="24"/>
          <w:rtl/>
        </w:rPr>
        <w:t xml:space="preserve"> היעדר ממצאים שליליים אינו מבטיח שלא ייגרם נזק בכל יישום, בפרט כשהמחקר מוגבל, אבל הוא מבחין בין שיטור מוכוון בעיות לבין אסטרטגיות ממוקדות אנשים, שבהן נמצא קשר שלילי בולט בין החשיפה לבין העמדות.</w:t>
      </w:r>
      <w:r>
        <w:rPr>
          <w:rStyle w:val="FootnoteReference"/>
        </w:rPr>
        <w:footnoteReference w:id="228"/>
      </w:r>
      <w:r>
        <w:rPr>
          <w:rFonts w:ascii="Times New Roman" w:cs="David" w:eastAsia="David" w:hAnsi="Times New Roman"/>
          <w:sz w:val="24"/>
          <w:szCs w:val="24"/>
          <w:rtl/>
        </w:rPr>
        <w:t xml:space="preserve"> לכן צריך לבדוק אילו פעולות נכללות בפועל בתוכניות של אמו"ן ואיך הציבור חווה אותן, ולא להסיק מן השם "פתרון בעיות" שהסיכון לאמון נמוך.</w:t>
      </w:r>
    </w:p>
    <w:p>
      <w:pPr>
        <w:pStyle w:val="Heading2"/>
        <w:bidi/>
        <w:spacing w:after="160" w:before="240"/>
        <w:jc w:val="right"/>
      </w:pPr>
      <w:r>
        <w:rPr>
          <w:rFonts w:ascii="Times New Roman" w:cs="David" w:eastAsia="David" w:hAnsi="Times New Roman"/>
          <w:b/>
          <w:bCs/>
          <w:sz w:val="28"/>
          <w:szCs w:val="28"/>
          <w:rtl/>
        </w:rPr>
        <w:t xml:space="preserve">7.2 כשלי היישום בשלבי הסריקה, הניתוח, התגובה וההערכה</w:t>
      </w:r>
    </w:p>
    <w:p>
      <w:pPr>
        <w:bidi/>
        <w:spacing w:after="120" w:line="360"/>
        <w:ind w:firstLine="0"/>
        <w:jc w:val="both"/>
      </w:pPr>
      <w:r>
        <w:rPr>
          <w:rFonts w:ascii="Times New Roman" w:cs="David" w:eastAsia="David" w:hAnsi="Times New Roman"/>
          <w:sz w:val="24"/>
          <w:szCs w:val="24"/>
          <w:rtl/>
        </w:rPr>
        <w:t xml:space="preserve">מן החומר עולים ארבעה כשלי יישום, וכל אחד מהם מקביל לשלב אחר במודל. בשלב הסריקה, דרישת הסף המספרית לאישור פוליגון התנגשה בעקרון המיקוד. תחנות הרחיבו את שטח הפוליגון או צירפו עבירות שונות כדי להגיע לרף, ובמקרים קיצוניים הוגדר יישוב שלם כפוליגון אף שהבעיה הייתה מרוכזת באזור קטן ממנו.</w:t>
      </w:r>
      <w:r>
        <w:rPr>
          <w:rStyle w:val="FootnoteReference"/>
        </w:rPr>
        <w:footnoteReference w:id="229"/>
      </w:r>
      <w:r>
        <w:rPr>
          <w:rFonts w:ascii="Times New Roman" w:cs="David" w:eastAsia="David" w:hAnsi="Times New Roman"/>
          <w:sz w:val="24"/>
          <w:szCs w:val="24"/>
          <w:rtl/>
        </w:rPr>
        <w:t xml:space="preserve"> מקור הכשל הזה בכלי המדידה הארגוני ולא בתיאוריה, שהרי אק וספלמן הדגישו דווקא התמקדות בבעיות מוגדרות ובחינה של מגוון חלופות.</w:t>
      </w:r>
      <w:r>
        <w:rPr>
          <w:rStyle w:val="FootnoteReference"/>
        </w:rPr>
        <w:footnoteReference w:id="230"/>
      </w:r>
    </w:p>
    <w:p>
      <w:pPr>
        <w:bidi/>
        <w:spacing w:after="120" w:line="360"/>
        <w:ind w:firstLine="0"/>
        <w:jc w:val="both"/>
      </w:pPr>
      <w:r>
        <w:rPr>
          <w:rFonts w:ascii="Times New Roman" w:cs="David" w:eastAsia="David" w:hAnsi="Times New Roman"/>
          <w:sz w:val="24"/>
          <w:szCs w:val="24"/>
          <w:rtl/>
        </w:rPr>
        <w:t xml:space="preserve">בשלב הניתוח נחסם המיקוד המרחבי בחברה הערבית בגלל מגבלה בתשתית המידע. מערכות המדידה לא אפשרו למקם אירועים ביישובים ערביים, ולכן רכיב מרכזי במודל לא יושם ברוב התחנות בסל הירי.</w:t>
      </w:r>
      <w:r>
        <w:rPr>
          <w:rStyle w:val="FootnoteReference"/>
        </w:rPr>
        <w:footnoteReference w:id="231"/>
      </w:r>
      <w:r>
        <w:rPr>
          <w:rFonts w:ascii="Times New Roman" w:cs="David" w:eastAsia="David" w:hAnsi="Times New Roman"/>
          <w:sz w:val="24"/>
          <w:szCs w:val="24"/>
          <w:rtl/>
        </w:rPr>
        <w:t xml:space="preserve"> המגבלה הזו ממחישה איך מחסור בתשתית מידע יכול ליצור פער באפקטיביות בין אוכלוסיות, בלי כוונה מפלה ובלי החלטה של גורם כלשהו. גישה שווה לכלי ניתוח בדרך כלל אינה נדונה כשאלה של שוויון, אבל זו בדיוק משמעותה כאן.</w:t>
      </w:r>
    </w:p>
    <w:p>
      <w:pPr>
        <w:bidi/>
        <w:spacing w:after="120" w:line="360"/>
        <w:ind w:firstLine="0"/>
        <w:jc w:val="both"/>
      </w:pPr>
      <w:r>
        <w:rPr>
          <w:rFonts w:ascii="Times New Roman" w:cs="David" w:eastAsia="David" w:hAnsi="Times New Roman"/>
          <w:sz w:val="24"/>
          <w:szCs w:val="24"/>
          <w:rtl/>
        </w:rPr>
        <w:t xml:space="preserve">בשלב התגובה יושמה חבילת ההרתעה הממוקדת באופן חלקי, ונעדרו ממנה המפגשים עם עבריינים והרכיבים השיקומיים.</w:t>
      </w:r>
      <w:r>
        <w:rPr>
          <w:rStyle w:val="FootnoteReference"/>
        </w:rPr>
        <w:footnoteReference w:id="232"/>
      </w:r>
      <w:r>
        <w:rPr>
          <w:rFonts w:ascii="Times New Roman" w:cs="David" w:eastAsia="David" w:hAnsi="Times New Roman"/>
          <w:sz w:val="24"/>
          <w:szCs w:val="24"/>
          <w:rtl/>
        </w:rPr>
        <w:t xml:space="preserve"> זה הפער החד ביותר בין המודל לבין ביצועו. כוחה של ההרתעה הממוקדת נובע מן השילוב בין אכיפה, קול הקהילה והצעת סיוע למי שרוצה לשנות את דרכו, ומדריך היישום מציג את הרכיב הקהילתי כיסוד של התוכנית ולא כתוספת.</w:t>
      </w:r>
      <w:r>
        <w:rPr>
          <w:rStyle w:val="FootnoteReference"/>
        </w:rPr>
        <w:footnoteReference w:id="233"/>
      </w:r>
      <w:r>
        <w:rPr>
          <w:rFonts w:ascii="Times New Roman" w:cs="David" w:eastAsia="David" w:hAnsi="Times New Roman"/>
          <w:sz w:val="24"/>
          <w:szCs w:val="24"/>
          <w:rtl/>
        </w:rPr>
        <w:t xml:space="preserve"> כשהמפגש והסיוע חסרים, ההתערבות משתנה במידה רבה, ולכן אי אפשר לייחס לה את האפקט שנמצא בתוכניות המשולבות.</w:t>
      </w:r>
    </w:p>
    <w:p>
      <w:pPr>
        <w:bidi/>
        <w:spacing w:after="120" w:line="360"/>
        <w:ind w:firstLine="0"/>
        <w:jc w:val="both"/>
      </w:pPr>
      <w:r>
        <w:rPr>
          <w:rFonts w:ascii="Times New Roman" w:cs="David" w:eastAsia="David" w:hAnsi="Times New Roman"/>
          <w:sz w:val="24"/>
          <w:szCs w:val="24"/>
          <w:rtl/>
        </w:rPr>
        <w:t xml:space="preserve">בשלב ההערכה נותרה סתירה פנימית. בדוח על סל הירי צוין שלא נמצא מתאם בין הציון של התחנה על ביצוע תוכנית התקיפה לבין ירידה במדד הפשיעה הרלוונטי.</w:t>
      </w:r>
      <w:r>
        <w:rPr>
          <w:rStyle w:val="FootnoteReference"/>
        </w:rPr>
        <w:footnoteReference w:id="234"/>
      </w:r>
      <w:r>
        <w:rPr>
          <w:rFonts w:ascii="Times New Roman" w:cs="David" w:eastAsia="David" w:hAnsi="Times New Roman"/>
          <w:sz w:val="24"/>
          <w:szCs w:val="24"/>
          <w:rtl/>
        </w:rPr>
        <w:t xml:space="preserve"> המשמעות היא שציון הביצוע אינו יכול לשמש סימן להצלחה. רפורמה שהתחייבה למדוד תוצאות מדדה בפועל, לפחות בחלק מן המקרים, תפוקות. הביקורת הפנימית שלפיה תוכניות התקיפה הפכו למטרה ולא לאמצעי מתארת בדיוק את המצב הזה.</w:t>
      </w:r>
      <w:r>
        <w:rPr>
          <w:rStyle w:val="FootnoteReference"/>
        </w:rPr>
        <w:footnoteReference w:id="235"/>
      </w:r>
    </w:p>
    <w:p>
      <w:pPr>
        <w:bidi/>
        <w:spacing w:after="120" w:line="360"/>
        <w:ind w:firstLine="0"/>
        <w:jc w:val="both"/>
      </w:pPr>
      <w:r>
        <w:rPr>
          <w:rFonts w:ascii="Times New Roman" w:cs="David" w:eastAsia="David" w:hAnsi="Times New Roman"/>
          <w:sz w:val="24"/>
          <w:szCs w:val="24"/>
          <w:rtl/>
        </w:rPr>
        <w:t xml:space="preserve">המחסור במשאבים חוצה את ארבעת הכשלים ומקשה לתקן אותם. בסל הרכוש לא נמצא שיפור מובהק דווקא בתחנה שמשאביה היו מוגבלים ושלא הצליחה לגייס משאבים חיצוניים.</w:t>
      </w:r>
      <w:r>
        <w:rPr>
          <w:rStyle w:val="FootnoteReference"/>
        </w:rPr>
        <w:footnoteReference w:id="236"/>
      </w:r>
      <w:r>
        <w:rPr>
          <w:rFonts w:ascii="Times New Roman" w:cs="David" w:eastAsia="David" w:hAnsi="Times New Roman"/>
          <w:sz w:val="24"/>
          <w:szCs w:val="24"/>
          <w:rtl/>
        </w:rPr>
        <w:t xml:space="preserve"> בסל הירי דיווחו התחנות שהמשאבים אינם תואמים את היקף הבעיה ואת חומרתה.</w:t>
      </w:r>
      <w:r>
        <w:rPr>
          <w:rStyle w:val="FootnoteReference"/>
        </w:rPr>
        <w:footnoteReference w:id="237"/>
      </w:r>
      <w:r>
        <w:rPr>
          <w:rFonts w:ascii="Times New Roman" w:cs="David" w:eastAsia="David" w:hAnsi="Times New Roman"/>
          <w:sz w:val="24"/>
          <w:szCs w:val="24"/>
          <w:rtl/>
        </w:rPr>
        <w:t xml:space="preserve"> מבקר המדינה הגיע לאותה מסקנה מכיוון אחר, כשמצא פער בין הגידול במערכים המבצעיים לבין התוספת הקטנה של חוקרים, כך שחלק ניכר מן הפעילות המבצעית אינו מגיע לשלב החקירה.</w:t>
      </w:r>
      <w:r>
        <w:rPr>
          <w:rStyle w:val="FootnoteReference"/>
        </w:rPr>
        <w:footnoteReference w:id="238"/>
      </w:r>
    </w:p>
    <w:p>
      <w:pPr>
        <w:bidi/>
        <w:spacing w:after="120" w:line="360"/>
        <w:ind w:firstLine="0"/>
        <w:jc w:val="both"/>
      </w:pPr>
      <w:r>
        <w:rPr>
          <w:rFonts w:ascii="Times New Roman" w:cs="David" w:eastAsia="David" w:hAnsi="Times New Roman"/>
          <w:sz w:val="24"/>
          <w:szCs w:val="24"/>
          <w:rtl/>
        </w:rPr>
        <w:t xml:space="preserve">הכשלים אינם בלתי תלויים זה בזה. מבקר המדינה מתאר קשיים בחקירה ובגיבוש ראיות, ולצידם חסמים ביחסי המשטרה עם הציבור, שמזינים את חוסר האמון ואת מעגל הירי.</w:t>
      </w:r>
      <w:r>
        <w:rPr>
          <w:rStyle w:val="FootnoteReference"/>
        </w:rPr>
        <w:footnoteReference w:id="239"/>
      </w:r>
      <w:r>
        <w:rPr>
          <w:rFonts w:ascii="Times New Roman" w:cs="David" w:eastAsia="David" w:hAnsi="Times New Roman"/>
          <w:sz w:val="24"/>
          <w:szCs w:val="24"/>
          <w:rtl/>
        </w:rPr>
        <w:t xml:space="preserve"> באמו"ן, זיהוי הבעיות נשען גם על נתוני אירועים וגם על עמדות התושבים.</w:t>
      </w:r>
      <w:r>
        <w:rPr>
          <w:rStyle w:val="FootnoteReference"/>
        </w:rPr>
        <w:footnoteReference w:id="240"/>
      </w:r>
      <w:r>
        <w:rPr>
          <w:rFonts w:ascii="Times New Roman" w:cs="David" w:eastAsia="David" w:hAnsi="Times New Roman"/>
          <w:sz w:val="24"/>
          <w:szCs w:val="24"/>
          <w:rtl/>
        </w:rPr>
        <w:t xml:space="preserve"> מכאן שהקשיים בחקירה ובקשר עם הציבור עלולים להכביד גם על הפעלת המודל עצמו. לכן יש לבחון את השפעתם יחד, ולא להניח שתיקון של רכיב אחד יספיק.</w:t>
      </w:r>
    </w:p>
    <w:p>
      <w:pPr>
        <w:bidi/>
        <w:spacing w:after="120" w:line="360"/>
        <w:ind w:firstLine="0"/>
        <w:jc w:val="both"/>
      </w:pPr>
      <w:r>
        <w:rPr>
          <w:rFonts w:ascii="Times New Roman" w:cs="David" w:eastAsia="David" w:hAnsi="Times New Roman"/>
          <w:sz w:val="24"/>
          <w:szCs w:val="24"/>
          <w:rtl/>
        </w:rPr>
        <w:t xml:space="preserve">כדאי להבחין בין שני סוגי הכשלים. הכשל בשלב הסריקה והכשל בשלב ההערכה הם כשלים בעיצוב הכלי הארגוני, ואפשר לתקן אותם בהחלטות מטה ובנהלים. הכשל בשלב הניתוח והכשל בשלב התגובה תלויים בתשתית ובמשאבים, ותיקונם מחייב השקעה לאורך זמן. ההבחנה קובעת סדר עדיפויות: אפשר להתחיל בבחינה מחדש של דרישת הסף ובבניית מדד של תוצאה משפטית, ובמקביל למפות את הצרכים בתשתית המידע. גם שינוי מדדים דורש עבודה, הכשרה ובדיקת נתונים, אבל הוא בהישג יד מהר יותר.</w:t>
      </w:r>
    </w:p>
    <w:p>
      <w:pPr>
        <w:pStyle w:val="Heading2"/>
        <w:bidi/>
        <w:spacing w:after="160" w:before="240"/>
        <w:jc w:val="right"/>
      </w:pPr>
      <w:r>
        <w:rPr>
          <w:rFonts w:ascii="Times New Roman" w:cs="David" w:eastAsia="David" w:hAnsi="Times New Roman"/>
          <w:b/>
          <w:bCs/>
          <w:sz w:val="28"/>
          <w:szCs w:val="28"/>
          <w:rtl/>
        </w:rPr>
        <w:t xml:space="preserve">7.3 הפער בין מדדי פעילות, הפחתת עבריינות ואיכות האכיפה</w:t>
      </w:r>
    </w:p>
    <w:p>
      <w:pPr>
        <w:bidi/>
        <w:spacing w:after="120" w:line="360"/>
        <w:ind w:firstLine="0"/>
        <w:jc w:val="both"/>
      </w:pPr>
      <w:r>
        <w:rPr>
          <w:rFonts w:ascii="Times New Roman" w:cs="David" w:eastAsia="David" w:hAnsi="Times New Roman"/>
          <w:sz w:val="24"/>
          <w:szCs w:val="24"/>
          <w:rtl/>
        </w:rPr>
        <w:t xml:space="preserve">ההבחנה בין נתוני אכיפה לבין נתוני פשיעה, שהוצגה בפרק 4, היא המפתח להערכה מאוזנת של הרפורמה ביחס לקבוצת היעד. עלייה במעצרים או בכתבי אישום אינה מעידה בהכרח על עלייה בעבריינות,</w:t>
      </w:r>
      <w:r>
        <w:rPr>
          <w:rStyle w:val="FootnoteReference"/>
        </w:rPr>
        <w:footnoteReference w:id="241"/>
      </w:r>
      <w:r>
        <w:rPr>
          <w:rFonts w:ascii="Times New Roman" w:cs="David" w:eastAsia="David" w:hAnsi="Times New Roman"/>
          <w:sz w:val="24"/>
          <w:szCs w:val="24"/>
          <w:rtl/>
        </w:rPr>
        <w:t xml:space="preserve"> וירידה בתלונות יכולה לשקף ירידה בפשיעה, אבל גם ירידה בנכונות להתלונן. לגבי צעירים ערבים בני 18 עד 24 יש לבדוק את שתי האפשרויות. הנתונים הקיימים אינם מבודדים את השפעת הרפורמה עליהם, ולכן מדד אחד אינו מספיק כדי לקבוע אם הצליחה בקבוצה הזו.</w:t>
      </w:r>
    </w:p>
    <w:p>
      <w:pPr>
        <w:bidi/>
        <w:spacing w:after="120" w:line="360"/>
        <w:ind w:firstLine="0"/>
        <w:jc w:val="both"/>
      </w:pPr>
      <w:r>
        <w:rPr>
          <w:rFonts w:ascii="Times New Roman" w:cs="David" w:eastAsia="David" w:hAnsi="Times New Roman"/>
          <w:sz w:val="24"/>
          <w:szCs w:val="24"/>
          <w:rtl/>
        </w:rPr>
        <w:t xml:space="preserve">שיעור כתבי האישום של 3% עד 5% בעבירות ירי מעורר שאלה קשה על ההגנה שקיבלה החברה הערבית בתקופה שנבדקה.</w:t>
      </w:r>
      <w:r>
        <w:rPr>
          <w:rStyle w:val="FootnoteReference"/>
        </w:rPr>
        <w:footnoteReference w:id="242"/>
      </w:r>
      <w:r>
        <w:rPr>
          <w:rFonts w:ascii="Times New Roman" w:cs="David" w:eastAsia="David" w:hAnsi="Times New Roman"/>
          <w:sz w:val="24"/>
          <w:szCs w:val="24"/>
          <w:rtl/>
        </w:rPr>
        <w:t xml:space="preserve"> במקביל הוצגו נתונים על ייצוג יתר במעצרים של צעירים לא יהודים. אין לחבר את הנתונים כאילו הם מתארים את אותם אנשים, את אותה קבוצת גיל או את אותה שנה. הם מעוררים שאלות משלימות: מי נחשף לפעילות אכיפה, אילו עבירות נחקרות ומה תוצאות החקירות. בדיקה משולבת כזו תאפשר לבחון אם מגע אינטנסיבי עם המשטרה מלווה בהגנה מספקת, בלי להניח מראש שהנתונים הקיימים כבר עונים על כך.</w:t>
      </w:r>
    </w:p>
    <w:p>
      <w:pPr>
        <w:bidi/>
        <w:spacing w:after="120" w:line="360"/>
        <w:ind w:firstLine="0"/>
        <w:jc w:val="both"/>
      </w:pPr>
      <w:r>
        <w:rPr>
          <w:rFonts w:ascii="Times New Roman" w:cs="David" w:eastAsia="David" w:hAnsi="Times New Roman"/>
          <w:sz w:val="24"/>
          <w:szCs w:val="24"/>
          <w:rtl/>
        </w:rPr>
        <w:t xml:space="preserve">הכלי שהוצע במסמך הכנסת, בדיקה אם מעצרים ותיקי חקירה מובילים לכתבי אישום באותה מידה בכל הקבוצות,</w:t>
      </w:r>
      <w:r>
        <w:rPr>
          <w:rStyle w:val="FootnoteReference"/>
        </w:rPr>
        <w:footnoteReference w:id="243"/>
      </w:r>
      <w:r>
        <w:rPr>
          <w:rFonts w:ascii="Times New Roman" w:cs="David" w:eastAsia="David" w:hAnsi="Times New Roman"/>
          <w:sz w:val="24"/>
          <w:szCs w:val="24"/>
          <w:rtl/>
        </w:rPr>
        <w:t xml:space="preserve"> מתאים גם להערכת אמו"ן. הוא מחייב לקשר בין נתוני השלבים השונים של ההליך ולבדוק אם אפשר לעקוב אחר אותם תיקים, והוא עונה על שתי שאלות בבת אחת. שיעור המרה נמוך יכול להעיד על קשיים בחקירה, אבל גם על הבדלים בסוגי העבירות ובראיות הזמינות. פער בשיעור ההמרה בין קבוצות יכול להעיד על סף שונה לפתיחת תיק. שני הממצאים חשובים להערכת רפורמה שמטרתה לשפר את השירות לאזרח.</w:t>
      </w:r>
    </w:p>
    <w:p>
      <w:pPr>
        <w:bidi/>
        <w:spacing w:after="120" w:line="360"/>
        <w:ind w:firstLine="0"/>
        <w:jc w:val="both"/>
      </w:pPr>
      <w:r>
        <w:rPr>
          <w:rFonts w:ascii="Times New Roman" w:cs="David" w:eastAsia="David" w:hAnsi="Times New Roman"/>
          <w:sz w:val="24"/>
          <w:szCs w:val="24"/>
          <w:rtl/>
        </w:rPr>
        <w:t xml:space="preserve">כל עוד תחנה נמדדת לפי היקף הפעילות שלה ולא לפי התוצאה המשפטית שהפעילות מניבה, הרפורמה עלולה לתגמל את הדפוס שהיא נועדה לתקן. גולדשטיין הזהיר מכך כשתיאר את העדפת האמצעים על פני המטרות,</w:t>
      </w:r>
      <w:r>
        <w:rPr>
          <w:rStyle w:val="FootnoteReference"/>
        </w:rPr>
        <w:footnoteReference w:id="244"/>
      </w:r>
      <w:r>
        <w:rPr>
          <w:rFonts w:ascii="Times New Roman" w:cs="David" w:eastAsia="David" w:hAnsi="Times New Roman"/>
          <w:sz w:val="24"/>
          <w:szCs w:val="24"/>
          <w:rtl/>
        </w:rPr>
        <w:t xml:space="preserve"> והביקורת הפנימית על אמו"ן חזרה על אותה אזהרה כמעט במילים זהות.</w:t>
      </w:r>
      <w:r>
        <w:rPr>
          <w:rStyle w:val="FootnoteReference"/>
        </w:rPr>
        <w:footnoteReference w:id="245"/>
      </w:r>
      <w:r>
        <w:rPr>
          <w:rFonts w:ascii="Times New Roman" w:cs="David" w:eastAsia="David" w:hAnsi="Times New Roman"/>
          <w:sz w:val="24"/>
          <w:szCs w:val="24"/>
          <w:rtl/>
        </w:rPr>
        <w:t xml:space="preserve"> כשאזהרה תיאורטית בת ארבעים שנה מתממשת בשטח, יש יסוד לבדוק אם התמריצים ומנגנון המדידה עצמם תורמים לבעיה, ולא רק את התנהלותה של תחנה מסוימת.</w:t>
      </w:r>
    </w:p>
    <w:p>
      <w:pPr>
        <w:bidi/>
        <w:spacing w:after="120" w:line="360"/>
        <w:ind w:firstLine="0"/>
        <w:jc w:val="both"/>
      </w:pPr>
      <w:r>
        <w:rPr>
          <w:rFonts w:ascii="Times New Roman" w:cs="David" w:eastAsia="David" w:hAnsi="Times New Roman"/>
          <w:sz w:val="24"/>
          <w:szCs w:val="24"/>
          <w:rtl/>
        </w:rPr>
        <w:t xml:space="preserve">גם בחירת המדד עצמה דורשת עיון. כשהדיווח נמוך והזירות משובשות, ייתכן שמספר האירועים אינו המדד הנכון, ושנדרש מדד מורכב.</w:t>
      </w:r>
      <w:r>
        <w:rPr>
          <w:rStyle w:val="FootnoteReference"/>
        </w:rPr>
        <w:footnoteReference w:id="246"/>
      </w:r>
      <w:r>
        <w:rPr>
          <w:rFonts w:ascii="Times New Roman" w:cs="David" w:eastAsia="David" w:hAnsi="Times New Roman"/>
          <w:sz w:val="24"/>
          <w:szCs w:val="24"/>
          <w:rtl/>
        </w:rPr>
        <w:t xml:space="preserve"> מדד מורכב שיכלול את שיעור כתבי האישום, את שיעור הדיווח ואת התפלגות המפגשים בין קבוצות יאפשר לזהות מצב שבו מספר האירועים יורד בזמן שההגנה על הקהילה נחלשת.</w:t>
      </w:r>
    </w:p>
    <w:p>
      <w:pPr>
        <w:bidi/>
        <w:spacing w:after="120" w:line="360"/>
        <w:ind w:firstLine="0"/>
        <w:jc w:val="both"/>
      </w:pPr>
      <w:r>
        <w:rPr>
          <w:rFonts w:ascii="Times New Roman" w:cs="David" w:eastAsia="David" w:hAnsi="Times New Roman"/>
          <w:sz w:val="24"/>
          <w:szCs w:val="24"/>
          <w:rtl/>
        </w:rPr>
        <w:t xml:space="preserve">תיקי החשיפה מציעים מדד נוסף שכבר קיים במערכות המשטרה. התיקים האלה נפתחים בעקבות פעילות יזומה ולא בעקבות תלונה, ובשנת 2023 נרשמו לא יהודים כחשודים ב-50% מתיקי החשיפה שנפתחו נגד צעירים.</w:t>
      </w:r>
      <w:r>
        <w:rPr>
          <w:rStyle w:val="FootnoteReference"/>
        </w:rPr>
        <w:footnoteReference w:id="247"/>
      </w:r>
      <w:r>
        <w:rPr>
          <w:rFonts w:ascii="Times New Roman" w:cs="David" w:eastAsia="David" w:hAnsi="Times New Roman"/>
          <w:sz w:val="24"/>
          <w:szCs w:val="24"/>
          <w:rtl/>
        </w:rPr>
        <w:t xml:space="preserve"> השיעור משקף החלטות של שוטרים ולא פניות של אזרחים, ולכן הוא רגיש במיוחד לאופן הפעלת שיקול הדעת. מעקב אחר התפלגות תיקי החשיפה לפי פוליגון ולפי קבוצת אוכלוסייה היה מספק לרפורמה מדד ישיר לממד הרביעי, בכפוף לזמינות הנתונים על מיקום, גיל ותוצאות הטיפול. זהו מדד לפעילות יזומה, ולא הוכחה עצמאית להוגנותה. הרדוף מציע להגביר את השקיפות של פעולות המשטרה באמצעות הנחיות מפורטות ודוחות תקופתיים, שיאפשרו בקרה ציבורית ותקשורתית,</w:t>
      </w:r>
      <w:r>
        <w:rPr>
          <w:rStyle w:val="FootnoteReference"/>
        </w:rPr>
        <w:footnoteReference w:id="248"/>
      </w:r>
      <w:r>
        <w:rPr>
          <w:rFonts w:ascii="Times New Roman" w:cs="David" w:eastAsia="David" w:hAnsi="Times New Roman"/>
          <w:sz w:val="24"/>
          <w:szCs w:val="24"/>
          <w:rtl/>
        </w:rPr>
        <w:t xml:space="preserve"> ומדד כזה יכול להיות חלק מדיווח מסוג זה.</w:t>
      </w:r>
    </w:p>
    <w:p>
      <w:pPr>
        <w:pStyle w:val="Heading2"/>
        <w:bidi/>
        <w:spacing w:after="160" w:before="240"/>
        <w:jc w:val="right"/>
      </w:pPr>
      <w:r>
        <w:rPr>
          <w:rFonts w:ascii="Times New Roman" w:cs="David" w:eastAsia="David" w:hAnsi="Times New Roman"/>
          <w:b/>
          <w:bCs/>
          <w:sz w:val="28"/>
          <w:szCs w:val="28"/>
          <w:rtl/>
        </w:rPr>
        <w:t xml:space="preserve">7.4 הבניית שיקול הדעת כתנאי לאפקטיביות הרפורמה</w:t>
      </w:r>
    </w:p>
    <w:p>
      <w:pPr>
        <w:bidi/>
        <w:spacing w:after="120" w:line="360"/>
        <w:ind w:firstLine="0"/>
        <w:jc w:val="both"/>
      </w:pPr>
      <w:r>
        <w:rPr>
          <w:rFonts w:ascii="Times New Roman" w:cs="David" w:eastAsia="David" w:hAnsi="Times New Roman"/>
          <w:sz w:val="24"/>
          <w:szCs w:val="24"/>
          <w:rtl/>
        </w:rPr>
        <w:t xml:space="preserve">האפשרות השלישית היא שחלק מן הקושי אינו במודל ואינו ביישום, אלא בהיקף ההערכה. אמו"ן מתמקדת בהפחתת הבעיות שנבחרו, ומשלבת את עמדות הציבור בבחירתן.</w:t>
      </w:r>
      <w:r>
        <w:rPr>
          <w:rStyle w:val="FootnoteReference"/>
        </w:rPr>
        <w:footnoteReference w:id="249"/>
      </w:r>
      <w:r>
        <w:rPr>
          <w:rFonts w:ascii="Times New Roman" w:cs="David" w:eastAsia="David" w:hAnsi="Times New Roman"/>
          <w:sz w:val="24"/>
          <w:szCs w:val="24"/>
          <w:rtl/>
        </w:rPr>
        <w:t xml:space="preserve"> אבל אמון והוגנות מחייבים מדידה נפרדת. במחקר עמדות הציבור נמצא שהוגנות ההליכים קשורה לאמון יותר מהערכת הביצועים,</w:t>
      </w:r>
      <w:r>
        <w:rPr>
          <w:rStyle w:val="FootnoteReference"/>
        </w:rPr>
        <w:footnoteReference w:id="250"/>
      </w:r>
      <w:r>
        <w:rPr>
          <w:rFonts w:ascii="Times New Roman" w:cs="David" w:eastAsia="David" w:hAnsi="Times New Roman"/>
          <w:sz w:val="24"/>
          <w:szCs w:val="24"/>
          <w:rtl/>
        </w:rPr>
        <w:t xml:space="preserve"> ובקרב משיבים ערבים לא נמצא קשר ישיר בין הערכת הטיפול בעבירות איכות חיים לבין הנכונות לשתף פעולה, אף שנמצא קשר לאמון.</w:t>
      </w:r>
      <w:r>
        <w:rPr>
          <w:rStyle w:val="FootnoteReference"/>
        </w:rPr>
        <w:footnoteReference w:id="251"/>
      </w:r>
    </w:p>
    <w:p>
      <w:pPr>
        <w:bidi/>
        <w:spacing w:after="120" w:line="360"/>
        <w:ind w:firstLine="0"/>
        <w:jc w:val="both"/>
      </w:pPr>
      <w:r>
        <w:rPr>
          <w:rFonts w:ascii="Times New Roman" w:cs="David" w:eastAsia="David" w:hAnsi="Times New Roman"/>
          <w:sz w:val="24"/>
          <w:szCs w:val="24"/>
          <w:rtl/>
        </w:rPr>
        <w:t xml:space="preserve">מודל שמעריך את הצלחתו רק לפי נתוני פשיעה אינו רואה החמצה כזו. הוא יציג תחנה שעמדה ביעדים המספריים כתחנה מצליחה, גם אם באותה תקופה נשחק האמון בגזרתה ופחתה הנכונות לדווח. בל טוענת שאבחנת חוסר הלגיטימיות היא אבחנה חלקית, שממעיטה בחשיבות של גישות מבניות וקבוצתיות.</w:t>
      </w:r>
      <w:r>
        <w:rPr>
          <w:rStyle w:val="FootnoteReference"/>
        </w:rPr>
        <w:footnoteReference w:id="252"/>
      </w:r>
      <w:r>
        <w:rPr>
          <w:rFonts w:ascii="Times New Roman" w:cs="David" w:eastAsia="David" w:hAnsi="Times New Roman"/>
          <w:sz w:val="24"/>
          <w:szCs w:val="24"/>
          <w:rtl/>
        </w:rPr>
        <w:t xml:space="preserve"> בהקשר הישראלי המשמעות היא שלא די בשיפור איכות המפגש הבודד. צריך לשנות גם את המבנה שיוצר את דפוס המפגשים.</w:t>
      </w:r>
    </w:p>
    <w:p>
      <w:pPr>
        <w:bidi/>
        <w:spacing w:after="120" w:line="360"/>
        <w:ind w:firstLine="0"/>
        <w:jc w:val="both"/>
      </w:pPr>
      <w:r>
        <w:rPr>
          <w:rFonts w:ascii="Times New Roman" w:cs="David" w:eastAsia="David" w:hAnsi="Times New Roman"/>
          <w:sz w:val="24"/>
          <w:szCs w:val="24"/>
          <w:rtl/>
        </w:rPr>
        <w:t xml:space="preserve">מכאן מסקנת הביניים המשפטית. 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קבע שאין להרחיב סמכות שפוגעת בזכויות בלי הסמכה מפורשת,</w:t>
      </w:r>
      <w:r>
        <w:rPr>
          <w:rStyle w:val="FootnoteReference"/>
        </w:rPr>
        <w:footnoteReference w:id="253"/>
      </w:r>
      <w:r>
        <w:rPr>
          <w:rFonts w:ascii="Times New Roman" w:cs="David" w:eastAsia="David" w:hAnsi="Times New Roman"/>
          <w:sz w:val="24"/>
          <w:szCs w:val="24"/>
          <w:rtl/>
        </w:rPr>
        <w:t xml:space="preserve"> והראה מה קורה בהיעדר אמות מידה: הפעלה סלקטיבית של הסמכות, שהובילה להפליית מיעוטים גם בלי כוונה.</w:t>
      </w:r>
      <w:r>
        <w:rPr>
          <w:rStyle w:val="FootnoteReference"/>
        </w:rPr>
        <w:footnoteReference w:id="254"/>
      </w:r>
      <w:r>
        <w:rPr>
          <w:rFonts w:ascii="Times New Roman" w:cs="David" w:eastAsia="David" w:hAnsi="Times New Roman"/>
          <w:sz w:val="24"/>
          <w:szCs w:val="24"/>
          <w:rtl/>
        </w:rPr>
        <w:t xml:space="preserve"> תוכנית תקיפה שמחייבת נוכחות מוגברת ופעילות יזומה בפוליגון מוגדר יוצרת בדיוק את סוג המפגשים שבהם שיקול הדעת עלול להיות מופעל בלי מבנה. נתוני תיקי החשיפה, שבהם נרשמו לא יהודים ב-50% מן התיקים שנפתחו נגד צעירים בשנת 2023, מחדדים את הצורך בבדיקה.</w:t>
      </w:r>
      <w:r>
        <w:rPr>
          <w:rStyle w:val="FootnoteReference"/>
        </w:rPr>
        <w:footnoteReference w:id="255"/>
      </w:r>
    </w:p>
    <w:p>
      <w:pPr>
        <w:bidi/>
        <w:spacing w:after="120" w:line="360"/>
        <w:ind w:firstLine="0"/>
        <w:jc w:val="both"/>
      </w:pPr>
      <w:r>
        <w:rPr>
          <w:rFonts w:ascii="Times New Roman" w:cs="David" w:eastAsia="David" w:hAnsi="Times New Roman"/>
          <w:sz w:val="24"/>
          <w:szCs w:val="24"/>
          <w:rtl/>
        </w:rPr>
        <w:t xml:space="preserve">ההשלכה אינה רק משפטית. חוות הדעת שהובאה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קשרה בין נהלים מפורטים ותבחינים ברורים לבין שיפור ביעילות המשטרה וירידה בשימוש בסטריאוטיפים.</w:t>
      </w:r>
      <w:r>
        <w:rPr>
          <w:rStyle w:val="FootnoteReference"/>
        </w:rPr>
        <w:footnoteReference w:id="256"/>
      </w:r>
      <w:r>
        <w:rPr>
          <w:rFonts w:ascii="Times New Roman" w:cs="David" w:eastAsia="David" w:hAnsi="Times New Roman"/>
          <w:sz w:val="24"/>
          <w:szCs w:val="24"/>
          <w:rtl/>
        </w:rPr>
        <w:t xml:space="preserve"> זה בדיוק ההיגיון שאמו"ן מפעילה ברמת הארגון, כשהיא דורשת ביסוס בנתונים ואישור מוקדם של תוכנית התקיפה. אלא שהיא מחילה אותו על בחירת היעדים, ולא על הפעלת הסמכות מול האזרח. השלמת המהלך מחייבת להרחיב את עקרונות המיקוד וההערכה גם לשלב המפגש.</w:t>
      </w:r>
    </w:p>
    <w:p>
      <w:pPr>
        <w:bidi/>
        <w:spacing w:after="120" w:line="360"/>
        <w:ind w:firstLine="0"/>
        <w:jc w:val="both"/>
      </w:pPr>
      <w:r>
        <w:rPr>
          <w:rFonts w:ascii="Times New Roman" w:cs="David" w:eastAsia="David" w:hAnsi="Times New Roman"/>
          <w:sz w:val="24"/>
          <w:szCs w:val="24"/>
          <w:rtl/>
        </w:rPr>
        <w:t xml:space="preserve">ההשוואה מספקת לכך תבנית מעשית. הכלל שאוסר לבסס חשד סביר על מאפיינים אישיים או על הכללות מנוסח בקוד </w:t>
      </w:r>
      <w:r>
        <w:rPr>
          <w:rFonts w:ascii="Times New Roman" w:cs="David" w:eastAsia="David" w:hAnsi="Times New Roman"/>
          <w:sz w:val="24"/>
          <w:szCs w:val="24"/>
          <w:rtl w:val="false"/>
        </w:rPr>
        <w:t xml:space="preserve">A‎</w:t>
      </w:r>
      <w:r>
        <w:rPr>
          <w:rFonts w:ascii="Times New Roman" w:cs="David" w:eastAsia="David" w:hAnsi="Times New Roman"/>
          <w:sz w:val="24"/>
          <w:szCs w:val="24"/>
          <w:rtl/>
        </w:rPr>
        <w:t xml:space="preserve"> כהוראת עבודה מחייבת.</w:t>
      </w:r>
      <w:r>
        <w:rPr>
          <w:rStyle w:val="FootnoteReference"/>
        </w:rPr>
        <w:footnoteReference w:id="257"/>
      </w:r>
      <w:r>
        <w:rPr>
          <w:rFonts w:ascii="Times New Roman" w:cs="David" w:eastAsia="David" w:hAnsi="Times New Roman"/>
          <w:sz w:val="24"/>
          <w:szCs w:val="24"/>
          <w:rtl/>
        </w:rPr>
        <w:t xml:space="preserve"> המלצת מקפרסון לתיעוד כוללת את סיבת העיכוב, את תוצאתו ואת הזהות האתנית שהאדם מגדיר לעצמו,</w:t>
      </w:r>
      <w:r>
        <w:rPr>
          <w:rStyle w:val="FootnoteReference"/>
        </w:rPr>
        <w:footnoteReference w:id="258"/>
      </w:r>
      <w:r>
        <w:rPr>
          <w:rFonts w:ascii="Times New Roman" w:cs="David" w:eastAsia="David" w:hAnsi="Times New Roman"/>
          <w:sz w:val="24"/>
          <w:szCs w:val="24"/>
          <w:rtl/>
        </w:rPr>
        <w:t xml:space="preserve"> והרישומים נבדקים כדי לאתר דפוסים מדאיגים.</w:t>
      </w:r>
      <w:r>
        <w:rPr>
          <w:rStyle w:val="FootnoteReference"/>
        </w:rPr>
        <w:footnoteReference w:id="259"/>
      </w:r>
      <w:r>
        <w:rPr>
          <w:rFonts w:ascii="Times New Roman" w:cs="David" w:eastAsia="David" w:hAnsi="Times New Roman"/>
          <w:sz w:val="24"/>
          <w:szCs w:val="24"/>
          <w:rtl/>
        </w:rPr>
        <w:t xml:space="preserve"> בית המשפט העליון הבריטי ראה בבקרות מסוג זה את מה שמגן על סמכות רחבה מפני שרירות,</w:t>
      </w:r>
      <w:r>
        <w:rPr>
          <w:rStyle w:val="FootnoteReference"/>
        </w:rPr>
        <w:footnoteReference w:id="260"/>
      </w:r>
      <w:r>
        <w:rPr>
          <w:rFonts w:ascii="Times New Roman" w:cs="David" w:eastAsia="David" w:hAnsi="Times New Roman"/>
          <w:sz w:val="24"/>
          <w:szCs w:val="24"/>
          <w:rtl/>
        </w:rPr>
        <w:t xml:space="preserve"> וקבע שבסוף תקופת ההסמכה יש להעריך את המבצע גם לפי חוסר המידתיות ואמון הקהילה.</w:t>
      </w:r>
      <w:r>
        <w:rPr>
          <w:rStyle w:val="FootnoteReference"/>
        </w:rPr>
        <w:footnoteReference w:id="261"/>
      </w:r>
    </w:p>
    <w:p>
      <w:pPr>
        <w:bidi/>
        <w:spacing w:after="120" w:line="360"/>
        <w:ind w:firstLine="0"/>
        <w:jc w:val="both"/>
      </w:pPr>
      <w:r>
        <w:rPr>
          <w:rFonts w:ascii="Times New Roman" w:cs="David" w:eastAsia="David" w:hAnsi="Times New Roman"/>
          <w:sz w:val="24"/>
          <w:szCs w:val="24"/>
          <w:rtl/>
        </w:rPr>
        <w:t xml:space="preserve">אפשר לבחון שילוב של ההיגיון הזה במערכת הקיימת של אמו"ן, שמציגה לכל תחנה את ביצועיה בתוך הפוליגון ומחוצה לו ואת מידת הביצוע של תוכנית התקיפה.</w:t>
      </w:r>
      <w:r>
        <w:rPr>
          <w:rStyle w:val="FootnoteReference"/>
        </w:rPr>
        <w:footnoteReference w:id="262"/>
      </w:r>
      <w:r>
        <w:rPr>
          <w:rFonts w:ascii="Times New Roman" w:cs="David" w:eastAsia="David" w:hAnsi="Times New Roman"/>
          <w:sz w:val="24"/>
          <w:szCs w:val="24"/>
          <w:rtl/>
        </w:rPr>
        <w:t xml:space="preserve"> שדות שמתעדים מפגשים יזומים, את העילה להם ואת תוצאותיהם, יכולים לאפשר בחינה של הוגנות לצד מדדי הפשיעה. גם מצלמות גוף הן כלי תיעוד רלוונטי: קדוש נוסבאום מציינת שבכמה מחקרים נמצא שהשימוש בהן הביא לירידה בהפעלת כוח בידי שוטרים ובמספר התלונות נגדם.</w:t>
      </w:r>
      <w:r>
        <w:rPr>
          <w:rStyle w:val="FootnoteReference"/>
        </w:rPr>
        <w:footnoteReference w:id="263"/>
      </w:r>
      <w:r>
        <w:rPr>
          <w:rFonts w:ascii="Times New Roman" w:cs="David" w:eastAsia="David" w:hAnsi="Times New Roman"/>
          <w:sz w:val="24"/>
          <w:szCs w:val="24"/>
          <w:rtl/>
        </w:rPr>
        <w:t xml:space="preserve"> לפני שמוסיפים שדות כאלה יש לבדוק מה כבר נאסף, מי רשאי לעיין במידע ואיך תוגן פרטיות המעורבים. ייתכן שחלק מן השינויים אפשר לבצע בנהלים ובמערכות המידע, אבל אין בחומר שנבחן בסיס לקביעה שאין צורך בהסדרה משפטית נוספת. המטרה היא שההוגנות תיבחן באופן קבוע, על בסיס נתונים מתאימים.</w:t>
      </w:r>
    </w:p>
    <w:p>
      <w:pPr>
        <w:bidi/>
        <w:spacing w:after="120" w:line="360"/>
        <w:ind w:firstLine="0"/>
        <w:jc w:val="both"/>
      </w:pPr>
      <w:r>
        <w:rPr>
          <w:rFonts w:ascii="Times New Roman" w:cs="David" w:eastAsia="David" w:hAnsi="Times New Roman"/>
          <w:sz w:val="24"/>
          <w:szCs w:val="24"/>
          <w:rtl/>
        </w:rPr>
        <w:t xml:space="preserve">טענה אפשרית נגד תיעוד נוסף היא שהוא מכביד על השוטר. אין בחומר שנבחן אומדן שמאפשר לשלול את החשש, ולכן ראוי לבדוק אותו ביישום מדורג. בעניין </w:t>
      </w:r>
      <w:r>
        <w:rPr>
          <w:rFonts w:ascii="Times New Roman" w:cs="David" w:eastAsia="David" w:hAnsi="Times New Roman"/>
          <w:i/>
          <w:iCs/>
          <w:sz w:val="24"/>
          <w:szCs w:val="24"/>
          <w:rtl w:val="false"/>
        </w:rPr>
        <w:t xml:space="preserve">Roberts‎</w:t>
      </w:r>
      <w:r>
        <w:rPr>
          <w:rFonts w:ascii="Times New Roman" w:cs="David" w:eastAsia="David" w:hAnsi="Times New Roman"/>
          <w:sz w:val="24"/>
          <w:szCs w:val="24"/>
          <w:rtl/>
        </w:rPr>
        <w:t xml:space="preserve"> הודגש שגם מערך בקרות שלם אינו מבטיח שלא יהיו הפרות במקרים מסוימים,</w:t>
      </w:r>
      <w:r>
        <w:rPr>
          <w:rStyle w:val="FootnoteReference"/>
        </w:rPr>
        <w:footnoteReference w:id="264"/>
      </w:r>
      <w:r>
        <w:rPr>
          <w:rFonts w:ascii="Times New Roman" w:cs="David" w:eastAsia="David" w:hAnsi="Times New Roman"/>
          <w:sz w:val="24"/>
          <w:szCs w:val="24"/>
          <w:rtl/>
        </w:rPr>
        <w:t xml:space="preserve"> והדיון שם עסק בחוקיות ההסדר ולא בעלותו התפעולית. מנגד, חוות הדעת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קשרה נהלים ותבחינים ברורים לשיפור ביעילות. יש אפוא בסיס לבחון תיעוד והנחיות ככלים שעשויים להועיל, לצד מדידה של זמני העבודה, של איכות ההחלטות ושל ההשפעה על הציבור. כדברי הרדוף, הבקרה "אינה מעלימה את הכוח, אלא אך מצמצמת את הסיכוי לשימוש לא ראוי ולא מוצלח בו".</w:t>
      </w:r>
      <w:r>
        <w:rPr>
          <w:rStyle w:val="FootnoteReference"/>
        </w:rPr>
        <w:footnoteReference w:id="265"/>
      </w:r>
    </w:p>
    <w:p>
      <w:pPr>
        <w:pStyle w:val="Heading1"/>
        <w:pageBreakBefore/>
        <w:bidi/>
        <w:spacing w:after="160" w:before="240"/>
        <w:jc w:val="center"/>
      </w:pPr>
      <w:r>
        <w:rPr>
          <w:rFonts w:ascii="Times New Roman" w:cs="David" w:eastAsia="David" w:hAnsi="Times New Roman"/>
          <w:b/>
          <w:bCs/>
          <w:sz w:val="32"/>
          <w:szCs w:val="32"/>
          <w:rtl/>
        </w:rPr>
        <w:t xml:space="preserve">8. סיכום ומסקנות</w:t>
      </w:r>
    </w:p>
    <w:p>
      <w:pPr>
        <w:bidi/>
        <w:spacing w:after="120" w:line="360"/>
        <w:ind w:firstLine="0"/>
        <w:jc w:val="both"/>
      </w:pPr>
      <w:r>
        <w:rPr>
          <w:rFonts w:ascii="Times New Roman" w:cs="David" w:eastAsia="David" w:hAnsi="Times New Roman"/>
          <w:sz w:val="24"/>
          <w:szCs w:val="24"/>
          <w:rtl/>
        </w:rPr>
        <w:t xml:space="preserve">העבודה בחנה באיזו מידה רפורמת אמו"ן אפקטיבית בהפחתת עבריינות ובשיפור האכיפה בקרב צעירים ערבים בני 18 עד 24, ואם הקשיים שנמצאו נובעים מן המודל או מיישומו. הניתוח מראה שאין טעם לבחון את הרפורמה כבחירה בין הצלחה לכישלון. בכל אחד מארבעת ממדי האפקטיביות שהוגדרו בפרק 2 מתקבלת תשובה אחרת.</w:t>
      </w:r>
    </w:p>
    <w:p>
      <w:pPr>
        <w:bidi/>
        <w:spacing w:after="120" w:line="360"/>
        <w:ind w:firstLine="0"/>
        <w:jc w:val="both"/>
      </w:pPr>
      <w:r>
        <w:rPr>
          <w:rFonts w:ascii="Times New Roman" w:cs="David" w:eastAsia="David" w:hAnsi="Times New Roman"/>
          <w:sz w:val="24"/>
          <w:szCs w:val="24"/>
          <w:rtl/>
        </w:rPr>
        <w:t xml:space="preserve">בממד הפחתת הפשיעה נמצאה תמיכה ברפורמה בחלק מן התחנות, לצד קשיים במקומות אחרים. בסל הרכוש נמצאה ירידה מובהקת בתוך הפוליגון בשתיים משלוש תחנות ההתערבות, בלי עדות להתקה ואף עם ירידה מחוץ לפוליגון.</w:t>
      </w:r>
      <w:r>
        <w:rPr>
          <w:rStyle w:val="FootnoteReference"/>
        </w:rPr>
        <w:footnoteReference w:id="266"/>
      </w:r>
      <w:r>
        <w:rPr>
          <w:rFonts w:ascii="Times New Roman" w:cs="David" w:eastAsia="David" w:hAnsi="Times New Roman"/>
          <w:sz w:val="24"/>
          <w:szCs w:val="24"/>
          <w:rtl/>
        </w:rPr>
        <w:t xml:space="preserve"> בסל הירי נרשמה ירידה באירועים בתחנה שהתמקדה בארבע שכונות, אך גם בתחנה אחרת שלא הגדירה פוליגון.</w:t>
      </w:r>
      <w:r>
        <w:rPr>
          <w:rStyle w:val="FootnoteReference"/>
        </w:rPr>
        <w:footnoteReference w:id="267"/>
      </w:r>
      <w:r>
        <w:rPr>
          <w:rFonts w:ascii="Times New Roman" w:cs="David" w:eastAsia="David" w:hAnsi="Times New Roman"/>
          <w:sz w:val="24"/>
          <w:szCs w:val="24"/>
          <w:rtl/>
        </w:rPr>
        <w:t xml:space="preserve"> לכן אין לייחס את ההישגים למיקוד הגיאוגרפי בלבד. אלה תוצאות של ממש, אבל עוצמת הראיות שונה בין הסלים: מחקר הירי אינו מאפשר להפריד את השפעת הרפורמה מגורמים אחרים כמו השוואה כמותית לתחנות ביקורת.</w:t>
      </w:r>
    </w:p>
    <w:p>
      <w:pPr>
        <w:bidi/>
        <w:spacing w:after="120" w:line="360"/>
        <w:ind w:firstLine="0"/>
        <w:jc w:val="both"/>
      </w:pPr>
      <w:r>
        <w:rPr>
          <w:rFonts w:ascii="Times New Roman" w:cs="David" w:eastAsia="David" w:hAnsi="Times New Roman"/>
          <w:sz w:val="24"/>
          <w:szCs w:val="24"/>
          <w:rtl/>
        </w:rPr>
        <w:t xml:space="preserve">בממד איכות האכיפה התמונה שונה לגמרי. בעבירות ירי בחברה הערבית עמד שיעור כתבי האישום על 3% עד 5% מן התיקים בשנים 2017 עד 2019, לעומת כ-15% בכלל תיקי החקירה בשנת 2019.</w:t>
      </w:r>
      <w:r>
        <w:rPr>
          <w:rStyle w:val="FootnoteReference"/>
        </w:rPr>
        <w:footnoteReference w:id="268"/>
      </w:r>
      <w:r>
        <w:rPr>
          <w:rFonts w:ascii="Times New Roman" w:cs="David" w:eastAsia="David" w:hAnsi="Times New Roman"/>
          <w:sz w:val="24"/>
          <w:szCs w:val="24"/>
          <w:rtl/>
        </w:rPr>
        <w:t xml:space="preserve"> הנתון אינו מתייחס רק לבני 18 עד 24. במערכת המדידה שתוארה במחקרי ההערכה לא נכלל מדד ישיר של התוצאה המשפטית, ולכן היא אינה עונה על השאלה אם השתפרה איכות החקירות. זהו פער בין מדדי הרפורמה לבין שירות שהקהילה זקוקה לו.</w:t>
      </w:r>
    </w:p>
    <w:p>
      <w:pPr>
        <w:bidi/>
        <w:spacing w:after="120" w:line="360"/>
        <w:ind w:firstLine="0"/>
        <w:jc w:val="both"/>
      </w:pPr>
      <w:r>
        <w:rPr>
          <w:rFonts w:ascii="Times New Roman" w:cs="David" w:eastAsia="David" w:hAnsi="Times New Roman"/>
          <w:sz w:val="24"/>
          <w:szCs w:val="24"/>
          <w:rtl/>
        </w:rPr>
        <w:t xml:space="preserve">בממד האמון והלגיטימיות הממצאים מורכבים. ציוני התחנה נמצאו קשורים לאמון בקרב כלל המשיבים,</w:t>
      </w:r>
      <w:r>
        <w:rPr>
          <w:rStyle w:val="FootnoteReference"/>
        </w:rPr>
        <w:footnoteReference w:id="269"/>
      </w:r>
      <w:r>
        <w:rPr>
          <w:rFonts w:ascii="Times New Roman" w:cs="David" w:eastAsia="David" w:hAnsi="Times New Roman"/>
          <w:sz w:val="24"/>
          <w:szCs w:val="24"/>
          <w:rtl/>
        </w:rPr>
        <w:t xml:space="preserve"> אך בקרב משיבים ערבים לא נמצא קשר ישיר בין הערכת הטיפול בעבירות איכות חיים לבין נכונות לשתף פעולה ותחושת ביטחון.</w:t>
      </w:r>
      <w:r>
        <w:rPr>
          <w:rStyle w:val="FootnoteReference"/>
        </w:rPr>
        <w:footnoteReference w:id="270"/>
      </w:r>
      <w:r>
        <w:rPr>
          <w:rFonts w:ascii="Times New Roman" w:cs="David" w:eastAsia="David" w:hAnsi="Times New Roman"/>
          <w:sz w:val="24"/>
          <w:szCs w:val="24"/>
          <w:rtl/>
        </w:rPr>
        <w:t xml:space="preserve"> אין פירוש הדבר שלא נמצא קשר לאמון, או שהממצא חל על עבירות חמורות. בנתונים מאוחרים יותר נרשמה ירידה עקבית בשיעור המשיבים הערבים שהביעו אמון במשטרה בשנים 2019 עד 2023.</w:t>
      </w:r>
      <w:r>
        <w:rPr>
          <w:rStyle w:val="FootnoteReference"/>
        </w:rPr>
        <w:footnoteReference w:id="271"/>
      </w:r>
      <w:r>
        <w:rPr>
          <w:rFonts w:ascii="Times New Roman" w:cs="David" w:eastAsia="David" w:hAnsi="Times New Roman"/>
          <w:sz w:val="24"/>
          <w:szCs w:val="24"/>
          <w:rtl/>
        </w:rPr>
        <w:t xml:space="preserve"> אלה מקורות נפרדים, ואין בהם הוכחה שהרפורמה גרמה לירידה, אבל הם מחזקים את הצורך למדוד בנפרד אמון, שיתוף פעולה וביטחון.</w:t>
      </w:r>
    </w:p>
    <w:p>
      <w:pPr>
        <w:bidi/>
        <w:spacing w:after="120" w:line="360"/>
        <w:ind w:firstLine="0"/>
        <w:jc w:val="both"/>
      </w:pPr>
      <w:r>
        <w:rPr>
          <w:rFonts w:ascii="Times New Roman" w:cs="David" w:eastAsia="David" w:hAnsi="Times New Roman"/>
          <w:sz w:val="24"/>
          <w:szCs w:val="24"/>
          <w:rtl/>
        </w:rPr>
        <w:t xml:space="preserve">בממד השוויון וההוגנות חסרים כלים להערכה ישירה. המערכת שתוארה אינה מודדת את התפלגות המפגשים היזומים בין קבוצות אוכלוסייה, ואינה כוללת תבחינים להפעלת שיקול הדעת במפגש. בלי הנתונים האלה אי אפשר לדעת אם הרפורמה שיפרה את המצב או החמירה אותו, וזו מסקנה בעלת משמעות בפני עצמה. מאחר שמיקוד באנשים או במקומות בסיכון גבוה צפוי ליצור פערים גדולים במפגשים,</w:t>
      </w:r>
      <w:r>
        <w:rPr>
          <w:rStyle w:val="FootnoteReference"/>
        </w:rPr>
        <w:footnoteReference w:id="272"/>
      </w:r>
      <w:r>
        <w:rPr>
          <w:rFonts w:ascii="Times New Roman" w:cs="David" w:eastAsia="David" w:hAnsi="Times New Roman"/>
          <w:sz w:val="24"/>
          <w:szCs w:val="24"/>
          <w:rtl/>
        </w:rPr>
        <w:t xml:space="preserve"> היעדר מדידה אינו עמדה ניטרלית.</w:t>
      </w:r>
    </w:p>
    <w:p>
      <w:pPr>
        <w:bidi/>
        <w:spacing w:after="120" w:line="360"/>
        <w:ind w:firstLine="0"/>
        <w:jc w:val="both"/>
      </w:pPr>
      <w:r>
        <w:rPr>
          <w:rFonts w:ascii="Times New Roman" w:cs="David" w:eastAsia="David" w:hAnsi="Times New Roman"/>
          <w:sz w:val="24"/>
          <w:szCs w:val="24"/>
          <w:rtl/>
        </w:rPr>
        <w:t xml:space="preserve">לשאלה המרכזית, הממצאים מצביעים על משקל רב לכשלי יישום ולעיצוב הכלים הארגוניים, בלי לשלול קשיים בהתאמת המודל. הגדרת בעיות רחבה מדי כדי לעמוד ברף מספרי,</w:t>
      </w:r>
      <w:r>
        <w:rPr>
          <w:rStyle w:val="FootnoteReference"/>
        </w:rPr>
        <w:footnoteReference w:id="273"/>
      </w:r>
      <w:r>
        <w:rPr>
          <w:rFonts w:ascii="Times New Roman" w:cs="David" w:eastAsia="David" w:hAnsi="Times New Roman"/>
          <w:sz w:val="24"/>
          <w:szCs w:val="24"/>
          <w:rtl/>
        </w:rPr>
        <w:t xml:space="preserve"> מיקוד גיאוגרפי שנחסם בגלל היעדר תשתית מידע ביישובים ערביים,</w:t>
      </w:r>
      <w:r>
        <w:rPr>
          <w:rStyle w:val="FootnoteReference"/>
        </w:rPr>
        <w:footnoteReference w:id="274"/>
      </w:r>
      <w:r>
        <w:rPr>
          <w:rFonts w:ascii="Times New Roman" w:cs="David" w:eastAsia="David" w:hAnsi="Times New Roman"/>
          <w:sz w:val="24"/>
          <w:szCs w:val="24"/>
          <w:rtl/>
        </w:rPr>
        <w:t xml:space="preserve"> חבילת התערבות שיושמה רק בחלקה,</w:t>
      </w:r>
      <w:r>
        <w:rPr>
          <w:rStyle w:val="FootnoteReference"/>
        </w:rPr>
        <w:footnoteReference w:id="275"/>
      </w:r>
      <w:r>
        <w:rPr>
          <w:rFonts w:ascii="Times New Roman" w:cs="David" w:eastAsia="David" w:hAnsi="Times New Roman"/>
          <w:sz w:val="24"/>
          <w:szCs w:val="24"/>
          <w:rtl/>
        </w:rPr>
        <w:t xml:space="preserve"> ומדידה שהמשיכה לתגמל תפוקות, הם ליקויים שדורשים תיקון בתכנון ובביצוע. מעליהם עומד מחסור מתמשך במשאבים, ובראשו הפער בין המערכים המבצעיים לבין מספר החוקרים.</w:t>
      </w:r>
      <w:r>
        <w:rPr>
          <w:rStyle w:val="FootnoteReference"/>
        </w:rPr>
        <w:footnoteReference w:id="276"/>
      </w:r>
    </w:p>
    <w:p>
      <w:pPr>
        <w:bidi/>
        <w:spacing w:after="120" w:line="360"/>
        <w:ind w:firstLine="0"/>
        <w:jc w:val="both"/>
      </w:pPr>
      <w:r>
        <w:rPr>
          <w:rFonts w:ascii="Times New Roman" w:cs="David" w:eastAsia="David" w:hAnsi="Times New Roman"/>
          <w:sz w:val="24"/>
          <w:szCs w:val="24"/>
          <w:rtl/>
        </w:rPr>
        <w:t xml:space="preserve">לצד קשיי היישום עולה גם מגבלה בהיקף ההערכה. הפחתת הבעיה שנבחרה אינה מספיקה כדי להעריך את איכות השירות ואת הוגנות האכיפה. נתוני המעצרים של צעירים לא יהודים ונתוני כתבי האישום בעבירות ירי מעוררים יחד חשש לפער בין מגע עם המשטרה לבין הגנה מפני פשיעה. מאחר שמדובר באוכלוסיות ובתקופות שונות, אין לראות בכך ממצא ישיר על צעירים ערבים בני 18 עד 24. המסגרת של נטפוף מגדירה את השאלה שצריך לבדוק: האם אכיפה מוגברת בתחום אחד מתקיימת לצד הגנה חסרה בתחום אחר, ומה המשמעות של הדבר לאותה קהילה.</w:t>
      </w:r>
      <w:r>
        <w:rPr>
          <w:rStyle w:val="FootnoteReference"/>
        </w:rPr>
        <w:footnoteReference w:id="277"/>
      </w:r>
    </w:p>
    <w:p>
      <w:pPr>
        <w:bidi/>
        <w:spacing w:after="120" w:line="360"/>
        <w:ind w:firstLine="0"/>
        <w:jc w:val="both"/>
      </w:pPr>
      <w:r>
        <w:rPr>
          <w:rFonts w:ascii="Times New Roman" w:cs="David" w:eastAsia="David" w:hAnsi="Times New Roman"/>
          <w:sz w:val="24"/>
          <w:szCs w:val="24"/>
          <w:rtl/>
        </w:rPr>
        <w:t xml:space="preserve">המשפט המשווה מלמד שלושה דברים. הראשון, שכלל שאוסר לבסס חשד על מאפיינים אישיים או על סטריאוטיפים צריך לקבל ביטוי בהוראות עבודה ברורות ובהכשרת השוטרים.</w:t>
      </w:r>
      <w:r>
        <w:rPr>
          <w:rStyle w:val="FootnoteReference"/>
        </w:rPr>
        <w:footnoteReference w:id="278"/>
      </w:r>
      <w:r>
        <w:rPr>
          <w:rFonts w:ascii="Times New Roman" w:cs="David" w:eastAsia="David" w:hAnsi="Times New Roman"/>
          <w:sz w:val="24"/>
          <w:szCs w:val="24"/>
          <w:rtl/>
        </w:rPr>
        <w:t xml:space="preserve"> השני, שתיעוד של עיכובים וחיפושים, כולל סיבתם ותוצאתם, הוא הבסיס לבדיקת פערים.</w:t>
      </w:r>
      <w:r>
        <w:rPr>
          <w:rStyle w:val="FootnoteReference"/>
        </w:rPr>
        <w:footnoteReference w:id="279"/>
      </w:r>
      <w:r>
        <w:rPr>
          <w:rFonts w:ascii="Times New Roman" w:cs="David" w:eastAsia="David" w:hAnsi="Times New Roman"/>
          <w:sz w:val="24"/>
          <w:szCs w:val="24"/>
          <w:rtl/>
        </w:rPr>
        <w:t xml:space="preserve"> השלישי, שנדרש מנגנון שמחייב את הארגון להסביר פערים או לתקן אותם.</w:t>
      </w:r>
      <w:r>
        <w:rPr>
          <w:rStyle w:val="FootnoteReference"/>
        </w:rPr>
        <w:footnoteReference w:id="280"/>
      </w:r>
      <w:r>
        <w:rPr>
          <w:rFonts w:ascii="Times New Roman" w:cs="David" w:eastAsia="David" w:hAnsi="Times New Roman"/>
          <w:sz w:val="24"/>
          <w:szCs w:val="24"/>
          <w:rtl/>
        </w:rPr>
        <w:t xml:space="preserve"> שלוש ההצעות ראויות לבחינה בישראל, תוך התאמתן לסמכויות הקיימות ולדיני הפרטיות. חלקן אפשר לקדם ברמה הארגונית, ושאלת הצורך בחקיקה דורשת בדיקה נפרדת.</w:t>
      </w:r>
    </w:p>
    <w:p>
      <w:pPr>
        <w:bidi/>
        <w:spacing w:after="120" w:line="360"/>
        <w:ind w:firstLine="0"/>
        <w:jc w:val="both"/>
      </w:pPr>
      <w:r>
        <w:rPr>
          <w:rFonts w:ascii="Times New Roman" w:cs="David" w:eastAsia="David" w:hAnsi="Times New Roman"/>
          <w:sz w:val="24"/>
          <w:szCs w:val="24"/>
          <w:rtl/>
        </w:rPr>
        <w:t xml:space="preserve">מכאן המסקנות המעשיות:</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לחדד את הגדרת הבעיות ולוותר על רף מספרי שדוחף להרחבת הפוליגון.</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ליישם את ההרתעה הממוקדת על כל רכיביה, כולל המפגש עם העבריינים והשירותים השיקומיים.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לתעד את המפגשים היזומים ואת התפלגותם בין קבוצות, על בסיס עקרונות הפיקוח של קוד </w:t>
      </w:r>
      <w:r>
        <w:rPr>
          <w:rFonts w:ascii="Times New Roman" w:cs="David" w:eastAsia="David" w:hAnsi="Times New Roman"/>
          <w:sz w:val="24"/>
          <w:szCs w:val="24"/>
          <w:rtl w:val="false"/>
        </w:rPr>
        <w:t xml:space="preserve">A‎</w:t>
      </w:r>
      <w:r>
        <w:rPr>
          <w:rFonts w:ascii="Times New Roman" w:cs="David" w:eastAsia="David" w:hAnsi="Times New Roman"/>
          <w:sz w:val="24"/>
          <w:szCs w:val="24"/>
          <w:rtl/>
        </w:rPr>
        <w:t xml:space="preserve"> והמלצת מקפרסון, כדי לבחון גם את הממד הרביעי של האפקטיביות.</w:t>
      </w:r>
    </w:p>
    <w:p>
      <w:pPr>
        <w:bidi/>
        <w:spacing w:after="120" w:line="360"/>
        <w:ind w:firstLine="0"/>
        <w:jc w:val="both"/>
      </w:pPr>
      <w:r>
        <w:rPr>
          <w:rFonts w:ascii="Times New Roman" w:cs="David" w:eastAsia="David" w:hAnsi="Times New Roman"/>
          <w:sz w:val="24"/>
          <w:szCs w:val="24"/>
          <w:rtl/>
        </w:rPr>
        <w:t xml:space="preserve">המסקנה הכוללת היא שהבניית שיקול הדעת בהפעלת סמכויות שיטור אינה מגבלה חיצונית על האפקטיביות, אלא חלק ממנה. חוות הדעת שהובאה בעניין </w:t>
      </w:r>
      <w:r>
        <w:rPr>
          <w:rFonts w:ascii="Times New Roman" w:cs="David" w:eastAsia="David" w:hAnsi="Times New Roman"/>
          <w:b/>
          <w:bCs/>
          <w:sz w:val="24"/>
          <w:szCs w:val="24"/>
          <w:rtl/>
        </w:rPr>
        <w:t xml:space="preserve">טבקה</w:t>
      </w:r>
      <w:r>
        <w:rPr>
          <w:rFonts w:ascii="Times New Roman" w:cs="David" w:eastAsia="David" w:hAnsi="Times New Roman"/>
          <w:sz w:val="24"/>
          <w:szCs w:val="24"/>
          <w:rtl/>
        </w:rPr>
        <w:t xml:space="preserve"> קשרה בין תבחינים ברורים לבין שיפור ביעילות וירידה בשימוש בסטריאוטיפים,</w:t>
      </w:r>
      <w:r>
        <w:rPr>
          <w:rStyle w:val="FootnoteReference"/>
        </w:rPr>
        <w:footnoteReference w:id="281"/>
      </w:r>
      <w:r>
        <w:rPr>
          <w:rFonts w:ascii="Times New Roman" w:cs="David" w:eastAsia="David" w:hAnsi="Times New Roman"/>
          <w:sz w:val="24"/>
          <w:szCs w:val="24"/>
          <w:rtl/>
        </w:rPr>
        <w:t xml:space="preserve"> וההשוואה מראה שאין זו אמירה תיאורטית. כל עוד תוכניות התקיפה ממקדות את הפעילות בשטח בלי לבחון באופן שיטתי את איכות המפגש בין השוטר לאזרח, יישאר פער בין הרפורמה שתוכננה לבין הרפורמה שפועלת בפועל. הנתונים על צעירים ערבים בני 18 עד 24 מצדיקים בדיקה ממוקדת שלהם, שתאפשר לעבור מתיאור של קשיים כלליים להערכת ההשפעה על הקבוצה עצמה.</w:t>
      </w:r>
    </w:p>
    <w:p>
      <w:pPr>
        <w:pStyle w:val="Heading1"/>
        <w:pageBreakBefore/>
        <w:bidi/>
        <w:spacing w:after="160" w:before="240"/>
        <w:jc w:val="center"/>
      </w:pPr>
      <w:r>
        <w:rPr>
          <w:rFonts w:ascii="Times New Roman" w:cs="David" w:eastAsia="David" w:hAnsi="Times New Roman"/>
          <w:b/>
          <w:bCs/>
          <w:sz w:val="32"/>
          <w:szCs w:val="32"/>
          <w:rtl/>
        </w:rPr>
        <w:t xml:space="preserve">ביבליוגרפיה</w:t>
      </w:r>
    </w:p>
    <w:p>
      <w:pPr>
        <w:pStyle w:val="Heading2"/>
        <w:bidi/>
        <w:spacing w:after="160" w:before="240"/>
        <w:jc w:val="right"/>
      </w:pPr>
      <w:r>
        <w:rPr>
          <w:rFonts w:ascii="Times New Roman" w:cs="David" w:eastAsia="David" w:hAnsi="Times New Roman"/>
          <w:b/>
          <w:bCs/>
          <w:sz w:val="28"/>
          <w:szCs w:val="28"/>
          <w:rtl/>
        </w:rPr>
        <w:t xml:space="preserve">חקיקה ישראלית</w:t>
      </w:r>
    </w:p>
    <w:p>
      <w:pPr>
        <w:bidi/>
        <w:spacing w:after="100" w:line="276"/>
        <w:ind w:left="360" w:hanging="360"/>
        <w:jc w:val="both"/>
      </w:pPr>
      <w:r>
        <w:rPr>
          <w:rFonts w:ascii="Times New Roman" w:cs="David" w:eastAsia="David" w:hAnsi="Times New Roman"/>
          <w:sz w:val="24"/>
          <w:szCs w:val="24"/>
          <w:rtl/>
        </w:rPr>
        <w:t xml:space="preserve">חוק החזקת תעודת זהות והצגתה, התשמ"ג–1982.</w:t>
      </w:r>
    </w:p>
    <w:p>
      <w:pPr>
        <w:bidi/>
        <w:spacing w:after="100" w:line="276"/>
        <w:ind w:left="360" w:hanging="360"/>
        <w:jc w:val="both"/>
      </w:pPr>
      <w:r>
        <w:rPr>
          <w:rFonts w:ascii="Times New Roman" w:cs="David" w:eastAsia="David" w:hAnsi="Times New Roman"/>
          <w:sz w:val="24"/>
          <w:szCs w:val="24"/>
          <w:rtl/>
        </w:rPr>
        <w:t xml:space="preserve">חוק סדר הדין הפלילי (סמכויות אכיפה – מעצרים), התשנ"ו–1996.</w:t>
      </w:r>
    </w:p>
    <w:p>
      <w:pPr>
        <w:bidi/>
        <w:spacing w:after="100" w:line="276"/>
        <w:ind w:left="360" w:hanging="360"/>
        <w:jc w:val="both"/>
      </w:pPr>
      <w:r>
        <w:rPr>
          <w:rFonts w:ascii="Times New Roman" w:cs="David" w:eastAsia="David" w:hAnsi="Times New Roman"/>
          <w:sz w:val="24"/>
          <w:szCs w:val="24"/>
          <w:rtl/>
        </w:rPr>
        <w:t xml:space="preserve">פקודת המשטרה [נוסח חדש], התשל"א–1971.</w:t>
      </w:r>
    </w:p>
    <w:p>
      <w:pPr>
        <w:pStyle w:val="Heading2"/>
        <w:bidi/>
        <w:spacing w:after="160" w:before="240"/>
        <w:jc w:val="right"/>
      </w:pPr>
      <w:r>
        <w:rPr>
          <w:rFonts w:ascii="Times New Roman" w:cs="David" w:eastAsia="David" w:hAnsi="Times New Roman"/>
          <w:b/>
          <w:bCs/>
          <w:sz w:val="28"/>
          <w:szCs w:val="28"/>
          <w:rtl/>
        </w:rPr>
        <w:t xml:space="preserve">פסיקה ישראלית</w:t>
      </w:r>
    </w:p>
    <w:p>
      <w:pPr>
        <w:bidi/>
        <w:spacing w:after="100" w:line="276"/>
        <w:ind w:left="360" w:hanging="360"/>
        <w:jc w:val="both"/>
      </w:pPr>
      <w:r>
        <w:rPr>
          <w:rFonts w:ascii="Times New Roman" w:cs="David" w:eastAsia="David" w:hAnsi="Times New Roman"/>
          <w:sz w:val="24"/>
          <w:szCs w:val="24"/>
          <w:rtl/>
        </w:rPr>
        <w:t xml:space="preserve">בג"ץ 1504/20 </w:t>
      </w:r>
      <w:r>
        <w:rPr>
          <w:rFonts w:ascii="Times New Roman" w:cs="David" w:eastAsia="David" w:hAnsi="Times New Roman"/>
          <w:b/>
          <w:bCs/>
          <w:sz w:val="24"/>
          <w:szCs w:val="24"/>
          <w:rtl/>
        </w:rPr>
        <w:t xml:space="preserve">אבו אלקיעאן נ' פרקליט המדינה</w:t>
      </w:r>
      <w:r>
        <w:rPr>
          <w:rFonts w:ascii="Times New Roman" w:cs="David" w:eastAsia="David" w:hAnsi="Times New Roman"/>
          <w:sz w:val="24"/>
          <w:szCs w:val="24"/>
          <w:rtl/>
        </w:rPr>
        <w:t xml:space="preserve"> (נבו 20.10.2021).</w:t>
      </w:r>
    </w:p>
    <w:p>
      <w:pPr>
        <w:bidi/>
        <w:spacing w:after="100" w:line="276"/>
        <w:ind w:left="360" w:hanging="360"/>
        <w:jc w:val="both"/>
      </w:pPr>
      <w:r>
        <w:rPr>
          <w:rFonts w:ascii="Times New Roman" w:cs="David" w:eastAsia="David" w:hAnsi="Times New Roman"/>
          <w:sz w:val="24"/>
          <w:szCs w:val="24"/>
          <w:rtl/>
        </w:rPr>
        <w:t xml:space="preserve">בג"ץ 5887/17 </w:t>
      </w:r>
      <w:r>
        <w:rPr>
          <w:rFonts w:ascii="Times New Roman" w:cs="David" w:eastAsia="David" w:hAnsi="Times New Roman"/>
          <w:b/>
          <w:bCs/>
          <w:sz w:val="24"/>
          <w:szCs w:val="24"/>
          <w:rtl/>
        </w:rPr>
        <w:t xml:space="preserve">ג'בארין נ' משטרת ישראל</w:t>
      </w:r>
      <w:r>
        <w:rPr>
          <w:rFonts w:ascii="Times New Roman" w:cs="David" w:eastAsia="David" w:hAnsi="Times New Roman"/>
          <w:sz w:val="24"/>
          <w:szCs w:val="24"/>
          <w:rtl/>
        </w:rPr>
        <w:t xml:space="preserve"> (נבו 25.7.2017).</w:t>
      </w:r>
    </w:p>
    <w:p>
      <w:pPr>
        <w:bidi/>
        <w:spacing w:after="100" w:line="276"/>
        <w:ind w:left="360" w:hanging="360"/>
        <w:jc w:val="both"/>
      </w:pPr>
      <w:r>
        <w:rPr>
          <w:rFonts w:ascii="Times New Roman" w:cs="David" w:eastAsia="David" w:hAnsi="Times New Roman"/>
          <w:sz w:val="24"/>
          <w:szCs w:val="24"/>
          <w:rtl/>
        </w:rPr>
        <w:t xml:space="preserve">רע"פ 3199/20 </w:t>
      </w:r>
      <w:r>
        <w:rPr>
          <w:rFonts w:ascii="Times New Roman" w:cs="David" w:eastAsia="David" w:hAnsi="Times New Roman"/>
          <w:b/>
          <w:bCs/>
          <w:sz w:val="24"/>
          <w:szCs w:val="24"/>
          <w:rtl/>
        </w:rPr>
        <w:t xml:space="preserve">זייצב נ' מדינת ישראל</w:t>
      </w:r>
      <w:r>
        <w:rPr>
          <w:rFonts w:ascii="Times New Roman" w:cs="David" w:eastAsia="David" w:hAnsi="Times New Roman"/>
          <w:sz w:val="24"/>
          <w:szCs w:val="24"/>
          <w:rtl/>
        </w:rPr>
        <w:t xml:space="preserve"> (נבו 12.8.2021).</w:t>
      </w:r>
    </w:p>
    <w:p>
      <w:pPr>
        <w:bidi/>
        <w:spacing w:after="100" w:line="276"/>
        <w:ind w:left="360" w:hanging="360"/>
        <w:jc w:val="both"/>
      </w:pPr>
      <w:r>
        <w:rPr>
          <w:rFonts w:ascii="Times New Roman" w:cs="David" w:eastAsia="David" w:hAnsi="Times New Roman"/>
          <w:sz w:val="24"/>
          <w:szCs w:val="24"/>
          <w:rtl/>
        </w:rPr>
        <w:t xml:space="preserve">בג"ץ 6396/96 </w:t>
      </w:r>
      <w:r>
        <w:rPr>
          <w:rFonts w:ascii="Times New Roman" w:cs="David" w:eastAsia="David" w:hAnsi="Times New Roman"/>
          <w:b/>
          <w:bCs/>
          <w:sz w:val="24"/>
          <w:szCs w:val="24"/>
          <w:rtl/>
        </w:rPr>
        <w:t xml:space="preserve">זקין נ' ראש עיריית באר-שבע</w:t>
      </w:r>
      <w:r>
        <w:rPr>
          <w:rFonts w:ascii="Times New Roman" w:cs="David" w:eastAsia="David" w:hAnsi="Times New Roman"/>
          <w:sz w:val="24"/>
          <w:szCs w:val="24"/>
          <w:rtl/>
        </w:rPr>
        <w:t xml:space="preserve">, פ"ד נג(3) 289 (1999).</w:t>
      </w:r>
    </w:p>
    <w:p>
      <w:pPr>
        <w:bidi/>
        <w:spacing w:after="100" w:line="276"/>
        <w:ind w:left="360" w:hanging="360"/>
        <w:jc w:val="both"/>
      </w:pPr>
      <w:r>
        <w:rPr>
          <w:rFonts w:ascii="Times New Roman" w:cs="David" w:eastAsia="David" w:hAnsi="Times New Roman"/>
          <w:sz w:val="24"/>
          <w:szCs w:val="24"/>
          <w:rtl/>
        </w:rPr>
        <w:t xml:space="preserve">ע"פ 9878/09 </w:t>
      </w:r>
      <w:r>
        <w:rPr>
          <w:rFonts w:ascii="Times New Roman" w:cs="David" w:eastAsia="David" w:hAnsi="Times New Roman"/>
          <w:b/>
          <w:bCs/>
          <w:sz w:val="24"/>
          <w:szCs w:val="24"/>
          <w:rtl/>
        </w:rPr>
        <w:t xml:space="preserve">מדינת ישראל נ' מוסא</w:t>
      </w:r>
      <w:r>
        <w:rPr>
          <w:rFonts w:ascii="Times New Roman" w:cs="David" w:eastAsia="David" w:hAnsi="Times New Roman"/>
          <w:sz w:val="24"/>
          <w:szCs w:val="24"/>
          <w:rtl/>
        </w:rPr>
        <w:t xml:space="preserve"> (נבו 20.9.2010).</w:t>
      </w:r>
    </w:p>
    <w:p>
      <w:pPr>
        <w:bidi/>
        <w:spacing w:after="100" w:line="276"/>
        <w:ind w:left="360" w:hanging="360"/>
        <w:jc w:val="both"/>
      </w:pPr>
      <w:r>
        <w:rPr>
          <w:rFonts w:ascii="Times New Roman" w:cs="David" w:eastAsia="David" w:hAnsi="Times New Roman"/>
          <w:sz w:val="24"/>
          <w:szCs w:val="24"/>
          <w:rtl/>
        </w:rPr>
        <w:t xml:space="preserve">רע"פ 2161/21 </w:t>
      </w:r>
      <w:r>
        <w:rPr>
          <w:rFonts w:ascii="Times New Roman" w:cs="David" w:eastAsia="David" w:hAnsi="Times New Roman"/>
          <w:b/>
          <w:bCs/>
          <w:sz w:val="24"/>
          <w:szCs w:val="24"/>
          <w:rtl/>
        </w:rPr>
        <w:t xml:space="preserve">משאיך נ' מדינת ישראל</w:t>
      </w:r>
      <w:r>
        <w:rPr>
          <w:rFonts w:ascii="Times New Roman" w:cs="David" w:eastAsia="David" w:hAnsi="Times New Roman"/>
          <w:sz w:val="24"/>
          <w:szCs w:val="24"/>
          <w:rtl/>
        </w:rPr>
        <w:t xml:space="preserve"> (נבו 18.7.2021).</w:t>
      </w:r>
    </w:p>
    <w:p>
      <w:pPr>
        <w:bidi/>
        <w:spacing w:after="100" w:line="276"/>
        <w:ind w:left="360" w:hanging="360"/>
        <w:jc w:val="both"/>
      </w:pPr>
      <w:r>
        <w:rPr>
          <w:rFonts w:ascii="Times New Roman" w:cs="David" w:eastAsia="David" w:hAnsi="Times New Roman"/>
          <w:sz w:val="24"/>
          <w:szCs w:val="24"/>
          <w:rtl/>
        </w:rPr>
        <w:t xml:space="preserve">בג"ץ 7074/93 </w:t>
      </w:r>
      <w:r>
        <w:rPr>
          <w:rFonts w:ascii="Times New Roman" w:cs="David" w:eastAsia="David" w:hAnsi="Times New Roman"/>
          <w:b/>
          <w:bCs/>
          <w:sz w:val="24"/>
          <w:szCs w:val="24"/>
          <w:rtl/>
        </w:rPr>
        <w:t xml:space="preserve">סויסא נ' היועץ המשפטי לממשלה</w:t>
      </w:r>
      <w:r>
        <w:rPr>
          <w:rFonts w:ascii="Times New Roman" w:cs="David" w:eastAsia="David" w:hAnsi="Times New Roman"/>
          <w:sz w:val="24"/>
          <w:szCs w:val="24"/>
          <w:rtl/>
        </w:rPr>
        <w:t xml:space="preserve">, פ"ד מח(2) 749 (1994).</w:t>
      </w:r>
    </w:p>
    <w:p>
      <w:pPr>
        <w:bidi/>
        <w:spacing w:after="100" w:line="276"/>
        <w:ind w:left="360" w:hanging="360"/>
        <w:jc w:val="both"/>
      </w:pPr>
      <w:r>
        <w:rPr>
          <w:rFonts w:ascii="Times New Roman" w:cs="David" w:eastAsia="David" w:hAnsi="Times New Roman"/>
          <w:sz w:val="24"/>
          <w:szCs w:val="24"/>
          <w:rtl/>
        </w:rPr>
        <w:t xml:space="preserve">ע"א 3580/06 </w:t>
      </w:r>
      <w:r>
        <w:rPr>
          <w:rFonts w:ascii="Times New Roman" w:cs="David" w:eastAsia="David" w:hAnsi="Times New Roman"/>
          <w:b/>
          <w:bCs/>
          <w:sz w:val="24"/>
          <w:szCs w:val="24"/>
          <w:rtl/>
        </w:rPr>
        <w:t xml:space="preserve">עזבון יוסף נ' מדינת ישראל</w:t>
      </w:r>
      <w:r>
        <w:rPr>
          <w:rFonts w:ascii="Times New Roman" w:cs="David" w:eastAsia="David" w:hAnsi="Times New Roman"/>
          <w:sz w:val="24"/>
          <w:szCs w:val="24"/>
          <w:rtl/>
        </w:rPr>
        <w:t xml:space="preserve"> (נבו 21.3.2011).</w:t>
      </w:r>
    </w:p>
    <w:p>
      <w:pPr>
        <w:bidi/>
        <w:spacing w:after="100" w:line="276"/>
        <w:ind w:left="360" w:hanging="360"/>
        <w:jc w:val="both"/>
      </w:pPr>
      <w:r>
        <w:rPr>
          <w:rFonts w:ascii="Times New Roman" w:cs="David" w:eastAsia="David" w:hAnsi="Times New Roman"/>
          <w:sz w:val="24"/>
          <w:szCs w:val="24"/>
          <w:rtl/>
        </w:rPr>
        <w:t xml:space="preserve">בג"ץ 4455/19 </w:t>
      </w:r>
      <w:r>
        <w:rPr>
          <w:rFonts w:ascii="Times New Roman" w:cs="David" w:eastAsia="David" w:hAnsi="Times New Roman"/>
          <w:b/>
          <w:bCs/>
          <w:sz w:val="24"/>
          <w:szCs w:val="24"/>
          <w:rtl/>
        </w:rPr>
        <w:t xml:space="preserve">עמותת טבקה – צדק ושוויון ליוצאי אתיופיה נ' משטרת ישראל</w:t>
      </w:r>
      <w:r>
        <w:rPr>
          <w:rFonts w:ascii="Times New Roman" w:cs="David" w:eastAsia="David" w:hAnsi="Times New Roman"/>
          <w:sz w:val="24"/>
          <w:szCs w:val="24"/>
          <w:rtl/>
        </w:rPr>
        <w:t xml:space="preserve"> (נבו 25.1.2021).</w:t>
      </w:r>
    </w:p>
    <w:p>
      <w:pPr>
        <w:bidi/>
        <w:spacing w:after="100" w:line="276"/>
        <w:ind w:left="360" w:hanging="360"/>
        <w:jc w:val="both"/>
      </w:pPr>
      <w:r>
        <w:rPr>
          <w:rFonts w:ascii="Times New Roman" w:cs="David" w:eastAsia="David" w:hAnsi="Times New Roman"/>
          <w:sz w:val="24"/>
          <w:szCs w:val="24"/>
          <w:rtl/>
        </w:rPr>
        <w:t xml:space="preserve">רע"פ 3829/15 </w:t>
      </w:r>
      <w:r>
        <w:rPr>
          <w:rFonts w:ascii="Times New Roman" w:cs="David" w:eastAsia="David" w:hAnsi="Times New Roman"/>
          <w:b/>
          <w:bCs/>
          <w:sz w:val="24"/>
          <w:szCs w:val="24"/>
          <w:rtl/>
        </w:rPr>
        <w:t xml:space="preserve">קסאי נ' מדינת ישראל</w:t>
      </w:r>
      <w:r>
        <w:rPr>
          <w:rFonts w:ascii="Times New Roman" w:cs="David" w:eastAsia="David" w:hAnsi="Times New Roman"/>
          <w:sz w:val="24"/>
          <w:szCs w:val="24"/>
          <w:rtl/>
        </w:rPr>
        <w:t xml:space="preserve"> (נבו 20.12.2018).</w:t>
      </w:r>
    </w:p>
    <w:p>
      <w:pPr>
        <w:pStyle w:val="Heading2"/>
        <w:bidi/>
        <w:spacing w:after="160" w:before="240"/>
        <w:jc w:val="right"/>
      </w:pPr>
      <w:r>
        <w:rPr>
          <w:rFonts w:ascii="Times New Roman" w:cs="David" w:eastAsia="David" w:hAnsi="Times New Roman"/>
          <w:b/>
          <w:bCs/>
          <w:sz w:val="28"/>
          <w:szCs w:val="28"/>
          <w:rtl/>
        </w:rPr>
        <w:t xml:space="preserve">ספרים</w:t>
      </w:r>
    </w:p>
    <w:p>
      <w:pPr>
        <w:bidi/>
        <w:spacing w:after="100" w:line="276"/>
        <w:ind w:left="360" w:hanging="360"/>
        <w:jc w:val="both"/>
      </w:pPr>
      <w:r>
        <w:rPr>
          <w:rFonts w:ascii="Times New Roman" w:cs="David" w:eastAsia="David" w:hAnsi="Times New Roman"/>
          <w:sz w:val="24"/>
          <w:szCs w:val="24"/>
          <w:rtl/>
        </w:rPr>
        <w:t xml:space="preserve">מיכאל בירנהק </w:t>
      </w:r>
      <w:r>
        <w:rPr>
          <w:rFonts w:ascii="Times New Roman" w:cs="David" w:eastAsia="David" w:hAnsi="Times New Roman"/>
          <w:b/>
          <w:bCs/>
          <w:sz w:val="24"/>
          <w:szCs w:val="24"/>
          <w:rtl/>
        </w:rPr>
        <w:t xml:space="preserve">פרטיות חוקתית</w:t>
      </w:r>
      <w:r>
        <w:rPr>
          <w:rFonts w:ascii="Times New Roman" w:cs="David" w:eastAsia="David" w:hAnsi="Times New Roman"/>
          <w:sz w:val="24"/>
          <w:szCs w:val="24"/>
          <w:rtl w:val="false"/>
        </w:rPr>
        <w:t xml:space="preserve"> (2023).</w:t>
      </w:r>
    </w:p>
    <w:p>
      <w:pPr>
        <w:pStyle w:val="Heading2"/>
        <w:bidi/>
        <w:spacing w:after="160" w:before="240"/>
        <w:jc w:val="right"/>
      </w:pPr>
      <w:r>
        <w:rPr>
          <w:rFonts w:ascii="Times New Roman" w:cs="David" w:eastAsia="David" w:hAnsi="Times New Roman"/>
          <w:b/>
          <w:bCs/>
          <w:sz w:val="28"/>
          <w:szCs w:val="28"/>
          <w:rtl/>
        </w:rPr>
        <w:t xml:space="preserve">מאמרים ופרקים בספרים</w:t>
      </w:r>
    </w:p>
    <w:p>
      <w:pPr>
        <w:bidi/>
        <w:spacing w:after="100" w:line="276"/>
        <w:ind w:left="360" w:hanging="360"/>
        <w:jc w:val="both"/>
      </w:pPr>
      <w:r>
        <w:rPr>
          <w:rFonts w:ascii="Times New Roman" w:cs="David" w:eastAsia="David" w:hAnsi="Times New Roman"/>
          <w:sz w:val="24"/>
          <w:szCs w:val="24"/>
          <w:rtl/>
        </w:rPr>
        <w:t xml:space="preserve">אסף הרדוף "ויתור, הידברות, בג"ץ: שחרור חסמים בסדר הדין הפלילי, צמצום הכוח המנהלי והגברת הביקורת השיפוטית" </w:t>
      </w:r>
      <w:r>
        <w:rPr>
          <w:rFonts w:ascii="Times New Roman" w:cs="David" w:eastAsia="David" w:hAnsi="Times New Roman"/>
          <w:b/>
          <w:bCs/>
          <w:sz w:val="24"/>
          <w:szCs w:val="24"/>
          <w:rtl/>
        </w:rPr>
        <w:t xml:space="preserve">ספר אליקים רובינשטיין</w:t>
      </w:r>
      <w:r>
        <w:rPr>
          <w:rFonts w:ascii="Times New Roman" w:cs="David" w:eastAsia="David" w:hAnsi="Times New Roman"/>
          <w:sz w:val="24"/>
          <w:szCs w:val="24"/>
          <w:rtl/>
        </w:rPr>
        <w:t xml:space="preserve"> 1817 (מרים ביטון עורכת, 2020).</w:t>
      </w:r>
    </w:p>
    <w:p>
      <w:pPr>
        <w:bidi/>
        <w:spacing w:after="100" w:line="276"/>
        <w:ind w:left="360" w:hanging="360"/>
        <w:jc w:val="both"/>
      </w:pPr>
      <w:r>
        <w:rPr>
          <w:rFonts w:ascii="Times New Roman" w:cs="David" w:eastAsia="David" w:hAnsi="Times New Roman"/>
          <w:sz w:val="24"/>
          <w:szCs w:val="24"/>
          <w:rtl/>
        </w:rPr>
        <w:t xml:space="preserve">באדי חסייסי ויעל ליטמנוביץ "חתירה למגע אחר: שיטור החברה הערבית בישראל, נקודת המבט של מפקדי תחנות"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119 (2017).</w:t>
      </w:r>
    </w:p>
    <w:p>
      <w:pPr>
        <w:bidi/>
        <w:spacing w:after="100" w:line="276"/>
        <w:ind w:left="360" w:hanging="360"/>
        <w:jc w:val="both"/>
      </w:pPr>
      <w:r>
        <w:rPr>
          <w:rFonts w:ascii="Times New Roman" w:cs="David" w:eastAsia="David" w:hAnsi="Times New Roman"/>
          <w:sz w:val="24"/>
          <w:szCs w:val="24"/>
          <w:rtl/>
        </w:rPr>
        <w:t xml:space="preserve">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283 (2020).</w:t>
      </w:r>
    </w:p>
    <w:p>
      <w:pPr>
        <w:bidi/>
        <w:spacing w:after="100" w:line="276"/>
        <w:ind w:left="360" w:hanging="360"/>
        <w:jc w:val="both"/>
      </w:pPr>
      <w:r>
        <w:rPr>
          <w:rFonts w:ascii="Times New Roman" w:cs="David" w:eastAsia="David" w:hAnsi="Times New Roman"/>
          <w:sz w:val="24"/>
          <w:szCs w:val="24"/>
          <w:rtl/>
        </w:rPr>
        <w:t xml:space="preserve">באדי חסייסי, יעל ליטמנוביץ, דיויד וייסבורד, שני תשובה וטאינה טרכטנברג "מחקר הערכת תכנית אמו"ן: עבירות אלימות"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247 (2020).</w:t>
      </w:r>
    </w:p>
    <w:p>
      <w:pPr>
        <w:bidi/>
        <w:spacing w:after="100" w:line="276"/>
        <w:ind w:left="360" w:hanging="360"/>
        <w:jc w:val="both"/>
      </w:pPr>
      <w:r>
        <w:rPr>
          <w:rFonts w:ascii="Times New Roman" w:cs="David" w:eastAsia="David" w:hAnsi="Times New Roman"/>
          <w:sz w:val="24"/>
          <w:szCs w:val="24"/>
          <w:rtl/>
        </w:rPr>
        <w:t xml:space="preserve">בעז סגל "נזיקין של רשויות במבט השוואתי: הפיצוי הנזיקי – מטרה או אמצעי?" </w:t>
      </w:r>
      <w:r>
        <w:rPr>
          <w:rFonts w:ascii="Times New Roman" w:cs="David" w:eastAsia="David" w:hAnsi="Times New Roman"/>
          <w:b/>
          <w:bCs/>
          <w:sz w:val="24"/>
          <w:szCs w:val="24"/>
          <w:rtl/>
        </w:rPr>
        <w:t xml:space="preserve">הפרקליט</w:t>
      </w:r>
      <w:r>
        <w:rPr>
          <w:rFonts w:ascii="Times New Roman" w:cs="David" w:eastAsia="David" w:hAnsi="Times New Roman"/>
          <w:sz w:val="24"/>
          <w:szCs w:val="24"/>
          <w:rtl/>
        </w:rPr>
        <w:t xml:space="preserve"> נו 111 (התשפ"ד).</w:t>
      </w:r>
    </w:p>
    <w:p>
      <w:pPr>
        <w:bidi/>
        <w:spacing w:after="100" w:line="276"/>
        <w:ind w:left="360" w:hanging="360"/>
        <w:jc w:val="both"/>
      </w:pPr>
      <w:r>
        <w:rPr>
          <w:rFonts w:ascii="Times New Roman" w:cs="David" w:eastAsia="David" w:hAnsi="Times New Roman"/>
          <w:sz w:val="24"/>
          <w:szCs w:val="24"/>
          <w:rtl/>
        </w:rPr>
        <w:t xml:space="preserve">דיויד וייסבורד, באדי חסייסי, יעל לטמנוביץ, תומר כרמל ושני תשובה "מחקר הערכת תכנית אמו"ן: דו"ח מספר 1, סל עבירות פע"ר"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75 (2018).</w:t>
      </w:r>
    </w:p>
    <w:p>
      <w:pPr>
        <w:bidi/>
        <w:spacing w:after="100" w:line="276"/>
        <w:ind w:left="360" w:hanging="360"/>
        <w:jc w:val="both"/>
      </w:pPr>
      <w:r>
        <w:rPr>
          <w:rFonts w:ascii="Times New Roman" w:cs="David" w:eastAsia="David" w:hAnsi="Times New Roman"/>
          <w:sz w:val="24"/>
          <w:szCs w:val="24"/>
          <w:rtl/>
        </w:rPr>
        <w:t xml:space="preserve">דיויד וייסבורד, באדי חסייסי, יעל לטמנוביץ, תומר כרמל ושני תשובה "מחקר הערכת תכנית אמו"ן: סל עבירות פע"ר"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167 (2020).</w:t>
      </w:r>
    </w:p>
    <w:p>
      <w:pPr>
        <w:bidi/>
        <w:spacing w:after="100" w:line="276"/>
        <w:ind w:left="360" w:hanging="360"/>
        <w:jc w:val="both"/>
      </w:pPr>
      <w:r>
        <w:rPr>
          <w:rFonts w:ascii="Times New Roman" w:cs="David" w:eastAsia="David" w:hAnsi="Times New Roman"/>
          <w:sz w:val="24"/>
          <w:szCs w:val="24"/>
          <w:rtl/>
        </w:rPr>
        <w:t xml:space="preserve">דייוויד ויסבורד, באדי חסייסי, יעל ליטמנוביץ, תומר כרמל ושני תשובה "מיסוד שיטור מוכוון בעיות: הערכה של רפורמת אמו"ן בישראל, תקציר מנהלים"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152 (2020).</w:t>
      </w:r>
    </w:p>
    <w:p>
      <w:pPr>
        <w:bidi/>
        <w:spacing w:after="100" w:line="276"/>
        <w:ind w:left="360" w:hanging="360"/>
        <w:jc w:val="both"/>
      </w:pPr>
      <w:r>
        <w:rPr>
          <w:rFonts w:ascii="Times New Roman" w:cs="David" w:eastAsia="David" w:hAnsi="Times New Roman"/>
          <w:sz w:val="24"/>
          <w:szCs w:val="24"/>
          <w:rtl/>
        </w:rPr>
        <w:t xml:space="preserve">יהודה קייסי "השיטור הקלאסי: הבסיס המחקרי לרפורמת אמו"ן במשטרת ישראל"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13 (2017).</w:t>
      </w:r>
    </w:p>
    <w:p>
      <w:pPr>
        <w:bidi/>
        <w:spacing w:after="100" w:line="276"/>
        <w:ind w:left="360" w:hanging="360"/>
        <w:jc w:val="both"/>
      </w:pPr>
      <w:r>
        <w:rPr>
          <w:rFonts w:ascii="Times New Roman" w:cs="David" w:eastAsia="David" w:hAnsi="Times New Roman"/>
          <w:sz w:val="24"/>
          <w:szCs w:val="24"/>
          <w:rtl/>
        </w:rPr>
        <w:t xml:space="preserve">יואב ספיר "שיח הזכויות, פופוליזם והתגובה לפשיעה בחברה הערבית: על הצורך בהגנה חוקתית משודרגת על זכויות בפלילים" </w:t>
      </w:r>
      <w:r>
        <w:rPr>
          <w:rFonts w:ascii="Times New Roman" w:cs="David" w:eastAsia="David" w:hAnsi="Times New Roman"/>
          <w:b/>
          <w:bCs/>
          <w:sz w:val="24"/>
          <w:szCs w:val="24"/>
          <w:rtl/>
        </w:rPr>
        <w:t xml:space="preserve">משפטים על אתר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(2025).</w:t>
      </w:r>
    </w:p>
    <w:p>
      <w:pPr>
        <w:bidi/>
        <w:spacing w:after="100" w:line="276"/>
        <w:ind w:left="360" w:hanging="360"/>
        <w:jc w:val="both"/>
      </w:pPr>
      <w:r>
        <w:rPr>
          <w:rFonts w:ascii="Times New Roman" w:cs="David" w:eastAsia="David" w:hAnsi="Times New Roman"/>
          <w:sz w:val="24"/>
          <w:szCs w:val="24"/>
          <w:rtl/>
        </w:rPr>
        <w:t xml:space="preserve">יעל ליטמנוביץ, באדי חסייסי, דיויד וייסבורד ושני תשובה "מחקר הערכת תכנית אמו"ן: טיפול משטרת ישראל בעבירות ירי בחברה הערבית"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226 (2020).</w:t>
      </w:r>
    </w:p>
    <w:p>
      <w:pPr>
        <w:bidi/>
        <w:spacing w:after="100" w:line="276"/>
        <w:ind w:left="360" w:hanging="360"/>
        <w:jc w:val="both"/>
      </w:pPr>
      <w:r>
        <w:rPr>
          <w:rFonts w:ascii="Times New Roman" w:cs="David" w:eastAsia="David" w:hAnsi="Times New Roman"/>
          <w:sz w:val="24"/>
          <w:szCs w:val="24"/>
          <w:rtl/>
        </w:rPr>
        <w:t xml:space="preserve">משטרת ישראל, אגף התכנון והארגון "רפורמת אמו"ן במשטרת ישראל: מרעיון מסדר לשינוי עומק" </w:t>
      </w:r>
      <w:r>
        <w:rPr>
          <w:rFonts w:ascii="Times New Roman" w:cs="David" w:eastAsia="David" w:hAnsi="Times New Roman"/>
          <w:b/>
          <w:bCs/>
          <w:sz w:val="24"/>
          <w:szCs w:val="24"/>
          <w:rtl/>
        </w:rPr>
        <w:t xml:space="preserve">העיקר במחקר</w:t>
      </w:r>
      <w:r>
        <w:rPr>
          <w:rFonts w:ascii="Times New Roman" w:cs="David" w:eastAsia="David" w:hAnsi="Times New Roman"/>
          <w:sz w:val="24"/>
          <w:szCs w:val="24"/>
          <w:rtl/>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11 (2017).</w:t>
      </w:r>
    </w:p>
    <w:p>
      <w:pPr>
        <w:bidi/>
        <w:spacing w:after="100" w:line="276"/>
        <w:ind w:left="360" w:hanging="360"/>
        <w:jc w:val="both"/>
      </w:pPr>
      <w:r>
        <w:rPr>
          <w:rFonts w:ascii="Times New Roman" w:cs="David" w:eastAsia="David" w:hAnsi="Times New Roman"/>
          <w:sz w:val="24"/>
          <w:szCs w:val="24"/>
          <w:rtl/>
        </w:rPr>
        <w:t xml:space="preserve">רותם קדוש נוסבאום "פגיעה בזכויות אדם בשל שימוש משטרתי באמצעים טכנולוגיים למעקב ושיטור מנבא" </w:t>
      </w:r>
      <w:r>
        <w:rPr>
          <w:rFonts w:ascii="Times New Roman" w:cs="David" w:eastAsia="David" w:hAnsi="Times New Roman"/>
          <w:b/>
          <w:bCs/>
          <w:sz w:val="24"/>
          <w:szCs w:val="24"/>
          <w:rtl/>
        </w:rPr>
        <w:t xml:space="preserve">המשפט</w:t>
      </w:r>
      <w:r>
        <w:rPr>
          <w:rFonts w:ascii="Times New Roman" w:cs="David" w:eastAsia="David" w:hAnsi="Times New Roman"/>
          <w:sz w:val="24"/>
          <w:szCs w:val="24"/>
          <w:rtl/>
        </w:rPr>
        <w:t xml:space="preserve"> לא 79 (התשפ"ו).</w:t>
      </w:r>
    </w:p>
    <w:p>
      <w:pPr>
        <w:pStyle w:val="Heading2"/>
        <w:bidi/>
        <w:spacing w:after="160" w:before="240"/>
        <w:jc w:val="right"/>
      </w:pPr>
      <w:r>
        <w:rPr>
          <w:rFonts w:ascii="Times New Roman" w:cs="David" w:eastAsia="David" w:hAnsi="Times New Roman"/>
          <w:b/>
          <w:bCs/>
          <w:sz w:val="28"/>
          <w:szCs w:val="28"/>
          <w:rtl/>
        </w:rPr>
        <w:t xml:space="preserve">דוחות ומסמכים רשמיים</w:t>
      </w:r>
    </w:p>
    <w:p>
      <w:pPr>
        <w:bidi/>
        <w:spacing w:after="100" w:line="276"/>
        <w:ind w:left="360" w:hanging="360"/>
        <w:jc w:val="both"/>
      </w:pPr>
      <w:r>
        <w:rPr>
          <w:rFonts w:ascii="Times New Roman" w:cs="David" w:eastAsia="David" w:hAnsi="Times New Roman"/>
          <w:sz w:val="24"/>
          <w:szCs w:val="24"/>
          <w:rtl/>
        </w:rPr>
        <w:t xml:space="preserve">מאיר אלרן, אפרים לביא, מני יצחקי ומוחמד ותד </w:t>
      </w:r>
      <w:r>
        <w:rPr>
          <w:rFonts w:ascii="Times New Roman" w:cs="David" w:eastAsia="David" w:hAnsi="Times New Roman"/>
          <w:b/>
          <w:bCs/>
          <w:sz w:val="24"/>
          <w:szCs w:val="24"/>
          <w:rtl/>
        </w:rPr>
        <w:t xml:space="preserve">המלצות למדיניות התמודדות לאומית עם האלימות והפשיעה בחברה הערבית בישראל</w:t>
      </w:r>
      <w:r>
        <w:rPr>
          <w:rFonts w:ascii="Times New Roman" w:cs="David" w:eastAsia="David" w:hAnsi="Times New Roman"/>
          <w:sz w:val="24"/>
          <w:szCs w:val="24"/>
          <w:rtl/>
        </w:rPr>
        <w:t xml:space="preserve"> (המכון למחקרי ביטחון לאומי, 2021).</w:t>
      </w:r>
    </w:p>
    <w:p>
      <w:pPr>
        <w:bidi/>
        <w:spacing w:after="100" w:line="276"/>
        <w:ind w:left="360" w:hanging="360"/>
        <w:jc w:val="both"/>
      </w:pPr>
      <w:r>
        <w:rPr>
          <w:rFonts w:ascii="Times New Roman" w:cs="David" w:eastAsia="David" w:hAnsi="Times New Roman"/>
          <w:sz w:val="24"/>
          <w:szCs w:val="24"/>
          <w:rtl/>
        </w:rPr>
        <w:t xml:space="preserve">מבקר המדינה </w:t>
      </w:r>
      <w:r>
        <w:rPr>
          <w:rFonts w:ascii="Times New Roman" w:cs="David" w:eastAsia="David" w:hAnsi="Times New Roman"/>
          <w:b/>
          <w:bCs/>
          <w:sz w:val="24"/>
          <w:szCs w:val="24"/>
          <w:rtl/>
        </w:rPr>
        <w:t xml:space="preserve">דוח ביקורת מיוחד: התמודדות משטרת ישראל עם החזקת אמצעי לחימה לא חוקיים ואירועי ירי ביישובי החברה הערבית וביישובים מעורבים</w:t>
      </w:r>
      <w:r>
        <w:rPr>
          <w:rFonts w:ascii="Times New Roman" w:cs="David" w:eastAsia="David" w:hAnsi="Times New Roman"/>
          <w:sz w:val="24"/>
          <w:szCs w:val="24"/>
          <w:rtl w:val="false"/>
        </w:rPr>
        <w:t xml:space="preserve"> (2018).</w:t>
      </w:r>
    </w:p>
    <w:p>
      <w:pPr>
        <w:bidi/>
        <w:spacing w:after="100" w:line="276"/>
        <w:ind w:left="360" w:hanging="360"/>
        <w:jc w:val="both"/>
      </w:pPr>
      <w:r>
        <w:rPr>
          <w:rFonts w:ascii="Times New Roman" w:cs="David" w:eastAsia="David" w:hAnsi="Times New Roman"/>
          <w:sz w:val="24"/>
          <w:szCs w:val="24"/>
          <w:rtl/>
        </w:rPr>
        <w:t xml:space="preserve">מבקר המדינה </w:t>
      </w:r>
      <w:r>
        <w:rPr>
          <w:rFonts w:ascii="Times New Roman" w:cs="David" w:eastAsia="David" w:hAnsi="Times New Roman"/>
          <w:b/>
          <w:bCs/>
          <w:sz w:val="24"/>
          <w:szCs w:val="24"/>
          <w:rtl/>
        </w:rPr>
        <w:t xml:space="preserve">ביקורת מעקב: התמודדות משטרת ישראל עם החזקת אמצעי לחימה לא חוקיים ואירועי ירי ביישובי החברה הערבית וביישובים מעורבים</w:t>
      </w:r>
      <w:r>
        <w:rPr>
          <w:rFonts w:ascii="Times New Roman" w:cs="David" w:eastAsia="David" w:hAnsi="Times New Roman"/>
          <w:sz w:val="24"/>
          <w:szCs w:val="24"/>
          <w:rtl w:val="false"/>
        </w:rPr>
        <w:t xml:space="preserve"> (2021).</w:t>
      </w:r>
    </w:p>
    <w:p>
      <w:pPr>
        <w:bidi/>
        <w:spacing w:after="100" w:line="276"/>
        <w:ind w:left="360" w:hanging="360"/>
        <w:jc w:val="both"/>
      </w:pPr>
      <w:r>
        <w:rPr>
          <w:rFonts w:ascii="Times New Roman" w:cs="David" w:eastAsia="David" w:hAnsi="Times New Roman"/>
          <w:sz w:val="24"/>
          <w:szCs w:val="24"/>
          <w:rtl/>
        </w:rPr>
        <w:t xml:space="preserve">נורית יכימוביץ-כהן </w:t>
      </w:r>
      <w:r>
        <w:rPr>
          <w:rFonts w:ascii="Times New Roman" w:cs="David" w:eastAsia="David" w:hAnsi="Times New Roman"/>
          <w:b/>
          <w:bCs/>
          <w:sz w:val="24"/>
          <w:szCs w:val="24"/>
          <w:rtl/>
        </w:rPr>
        <w:t xml:space="preserve">סוגיות הקשורות לשיטור יתר ושימוש משטרתי בכוח כלפי קבוצות אוכלוסייה מסוימות</w:t>
      </w:r>
      <w:r>
        <w:rPr>
          <w:rFonts w:ascii="Times New Roman" w:cs="David" w:eastAsia="David" w:hAnsi="Times New Roman"/>
          <w:sz w:val="24"/>
          <w:szCs w:val="24"/>
          <w:rtl/>
        </w:rPr>
        <w:t xml:space="preserve"> (הכנסת, מרכז המחקר והמידע, 2025).</w:t>
      </w:r>
    </w:p>
    <w:p>
      <w:pPr>
        <w:bidi/>
        <w:spacing w:after="100" w:line="276"/>
        <w:ind w:left="360" w:hanging="360"/>
        <w:jc w:val="both"/>
      </w:pPr>
      <w:r>
        <w:rPr>
          <w:rFonts w:ascii="Times New Roman" w:cs="David" w:eastAsia="David" w:hAnsi="Times New Roman"/>
          <w:sz w:val="24"/>
          <w:szCs w:val="24"/>
          <w:rtl/>
        </w:rPr>
        <w:t xml:space="preserve">נורית יכימוביץ-כהן </w:t>
      </w:r>
      <w:r>
        <w:rPr>
          <w:rFonts w:ascii="Times New Roman" w:cs="David" w:eastAsia="David" w:hAnsi="Times New Roman"/>
          <w:b/>
          <w:bCs/>
          <w:sz w:val="24"/>
          <w:szCs w:val="24"/>
          <w:rtl/>
        </w:rPr>
        <w:t xml:space="preserve">פשיעה ועבריינות של צעירים ערבים: נתוני אכיפה</w:t>
      </w:r>
      <w:r>
        <w:rPr>
          <w:rFonts w:ascii="Times New Roman" w:cs="David" w:eastAsia="David" w:hAnsi="Times New Roman"/>
          <w:sz w:val="24"/>
          <w:szCs w:val="24"/>
          <w:rtl/>
        </w:rPr>
        <w:t xml:space="preserve"> (הכנסת, מרכז המחקר והמידע, 2025).</w:t>
      </w:r>
    </w:p>
    <w:p>
      <w:pPr>
        <w:pStyle w:val="Heading2"/>
        <w:bidi/>
        <w:spacing w:after="160" w:before="240"/>
        <w:jc w:val="right"/>
      </w:pPr>
      <w:r>
        <w:rPr>
          <w:rFonts w:ascii="Times New Roman" w:cs="David" w:eastAsia="David" w:hAnsi="Times New Roman"/>
          <w:b/>
          <w:bCs/>
          <w:sz w:val="28"/>
          <w:szCs w:val="28"/>
          <w:rtl/>
        </w:rPr>
        <w:t xml:space="preserve">חקיקה ומסמכים נורמטיביים זרים</w:t>
      </w:r>
    </w:p>
    <w:p>
      <w:pPr>
        <w:bidi w:val="false"/>
        <w:spacing w:after="100" w:line="276"/>
        <w:ind w:left="360" w:hanging="360"/>
        <w:jc w:val="left"/>
      </w:pPr>
      <w:r>
        <w:rPr>
          <w:rFonts w:ascii="Times New Roman" w:cs="David" w:eastAsia="David" w:hAnsi="Times New Roman"/>
          <w:sz w:val="24"/>
          <w:szCs w:val="24"/>
          <w:rtl w:val="false"/>
        </w:rPr>
        <w:t xml:space="preserve">34 U.S.C. § 12601.‎</w:t>
      </w:r>
    </w:p>
    <w:p>
      <w:pPr>
        <w:bidi w:val="false"/>
        <w:spacing w:after="100" w:line="276"/>
        <w:ind w:left="360" w:hanging="360"/>
        <w:jc w:val="left"/>
      </w:pPr>
      <w:r>
        <w:rPr>
          <w:rFonts w:ascii="Times New Roman" w:cs="David" w:eastAsia="David" w:hAnsi="Times New Roman"/>
          <w:sz w:val="24"/>
          <w:szCs w:val="24"/>
          <w:rtl w:val="false"/>
        </w:rPr>
        <w:t xml:space="preserve">42 U.S.C. § 1983.‎</w:t>
      </w:r>
    </w:p>
    <w:p>
      <w:pPr>
        <w:bidi w:val="false"/>
        <w:spacing w:after="100" w:line="276"/>
        <w:ind w:left="360" w:hanging="360"/>
        <w:jc w:val="left"/>
      </w:pPr>
      <w:r>
        <w:rPr>
          <w:rFonts w:ascii="Times New Roman" w:cs="David" w:eastAsia="David" w:hAnsi="Times New Roman"/>
          <w:i/>
          <w:iCs/>
          <w:sz w:val="24"/>
          <w:szCs w:val="24"/>
          <w:rtl w:val="false"/>
        </w:rPr>
        <w:t xml:space="preserve">Criminal Justice and Public Order Act 1994‎</w:t>
      </w:r>
      <w:r>
        <w:rPr>
          <w:rFonts w:ascii="Times New Roman" w:cs="David" w:eastAsia="David" w:hAnsi="Times New Roman"/>
          <w:sz w:val="24"/>
          <w:szCs w:val="24"/>
          <w:rtl w:val="false"/>
        </w:rPr>
        <w:t xml:space="preserve">, c. 33 (UK).‎</w:t>
      </w:r>
    </w:p>
    <w:p>
      <w:pPr>
        <w:bidi w:val="false"/>
        <w:spacing w:after="100" w:line="276"/>
        <w:ind w:left="360" w:hanging="360"/>
        <w:jc w:val="left"/>
      </w:pPr>
      <w:r>
        <w:rPr>
          <w:rFonts w:ascii="Times New Roman" w:cs="David" w:eastAsia="David" w:hAnsi="Times New Roman"/>
          <w:i/>
          <w:iCs/>
          <w:sz w:val="24"/>
          <w:szCs w:val="24"/>
          <w:rtl w:val="false"/>
        </w:rPr>
        <w:t xml:space="preserve">Equality Act 2010‎</w:t>
      </w:r>
      <w:r>
        <w:rPr>
          <w:rFonts w:ascii="Times New Roman" w:cs="David" w:eastAsia="David" w:hAnsi="Times New Roman"/>
          <w:sz w:val="24"/>
          <w:szCs w:val="24"/>
          <w:rtl w:val="false"/>
        </w:rPr>
        <w:t xml:space="preserve">, c. 15 (UK).‎</w:t>
      </w:r>
    </w:p>
    <w:p>
      <w:pPr>
        <w:bidi w:val="false"/>
        <w:spacing w:after="100" w:line="276"/>
        <w:ind w:left="360" w:hanging="360"/>
        <w:jc w:val="left"/>
      </w:pPr>
      <w:r>
        <w:rPr>
          <w:rFonts w:ascii="Times New Roman" w:cs="David" w:eastAsia="David" w:hAnsi="Times New Roman"/>
          <w:sz w:val="24"/>
          <w:szCs w:val="24"/>
          <w:rtl w:val="false"/>
        </w:rPr>
        <w:t xml:space="preserve">Home Office, Police and Criminal Evidence Act 1984 Code A: Revised Code of Practice for the Exercise by Police Officers of Statutory Powers of Stop and Search (2023).‎</w:t>
      </w:r>
    </w:p>
    <w:p>
      <w:pPr>
        <w:bidi w:val="false"/>
        <w:spacing w:after="100" w:line="276"/>
        <w:ind w:left="360" w:hanging="360"/>
        <w:jc w:val="left"/>
      </w:pPr>
      <w:r>
        <w:rPr>
          <w:rFonts w:ascii="Times New Roman" w:cs="David" w:eastAsia="David" w:hAnsi="Times New Roman"/>
          <w:i/>
          <w:iCs/>
          <w:sz w:val="24"/>
          <w:szCs w:val="24"/>
          <w:rtl w:val="false"/>
        </w:rPr>
        <w:t xml:space="preserve">Police and Criminal Evidence Act 1984‎</w:t>
      </w:r>
      <w:r>
        <w:rPr>
          <w:rFonts w:ascii="Times New Roman" w:cs="David" w:eastAsia="David" w:hAnsi="Times New Roman"/>
          <w:sz w:val="24"/>
          <w:szCs w:val="24"/>
          <w:rtl w:val="false"/>
        </w:rPr>
        <w:t xml:space="preserve">, c. 60 (UK).‎</w:t>
      </w:r>
    </w:p>
    <w:p>
      <w:pPr>
        <w:bidi w:val="false"/>
        <w:spacing w:after="100" w:line="276"/>
        <w:ind w:left="360" w:hanging="360"/>
        <w:jc w:val="left"/>
      </w:pPr>
      <w:r>
        <w:rPr>
          <w:rFonts w:ascii="Times New Roman" w:cs="David" w:eastAsia="David" w:hAnsi="Times New Roman"/>
          <w:sz w:val="24"/>
          <w:szCs w:val="24"/>
          <w:rtl w:val="false"/>
        </w:rPr>
        <w:t xml:space="preserve">U.S. CONST. amend. IV.‎</w:t>
      </w:r>
    </w:p>
    <w:p>
      <w:pPr>
        <w:pStyle w:val="Heading2"/>
        <w:bidi/>
        <w:spacing w:after="160" w:before="240"/>
        <w:jc w:val="right"/>
      </w:pPr>
      <w:r>
        <w:rPr>
          <w:rFonts w:ascii="Times New Roman" w:cs="David" w:eastAsia="David" w:hAnsi="Times New Roman"/>
          <w:b/>
          <w:bCs/>
          <w:sz w:val="28"/>
          <w:szCs w:val="28"/>
          <w:rtl/>
        </w:rPr>
        <w:t xml:space="preserve">פסיקה זרה</w:t>
      </w:r>
    </w:p>
    <w:p>
      <w:pPr>
        <w:bidi w:val="false"/>
        <w:spacing w:after="100" w:line="276"/>
        <w:ind w:left="360" w:hanging="360"/>
        <w:jc w:val="left"/>
      </w:pPr>
      <w:r>
        <w:rPr>
          <w:rFonts w:ascii="Times New Roman" w:cs="David" w:eastAsia="David" w:hAnsi="Times New Roman"/>
          <w:i/>
          <w:iCs/>
          <w:sz w:val="24"/>
          <w:szCs w:val="24"/>
          <w:rtl w:val="false"/>
        </w:rPr>
        <w:t xml:space="preserve">Commissioner of Police of the Metropolis v. DSD‎</w:t>
      </w:r>
      <w:r>
        <w:rPr>
          <w:rFonts w:ascii="Times New Roman" w:cs="David" w:eastAsia="David" w:hAnsi="Times New Roman"/>
          <w:sz w:val="24"/>
          <w:szCs w:val="24"/>
          <w:rtl w:val="false"/>
        </w:rPr>
        <w:t xml:space="preserve"> [2018] UKSC 11.‎</w:t>
      </w:r>
    </w:p>
    <w:p>
      <w:pPr>
        <w:bidi w:val="false"/>
        <w:spacing w:after="100" w:line="276"/>
        <w:ind w:left="360" w:hanging="360"/>
        <w:jc w:val="left"/>
      </w:pPr>
      <w:r>
        <w:rPr>
          <w:rFonts w:ascii="Times New Roman" w:cs="David" w:eastAsia="David" w:hAnsi="Times New Roman"/>
          <w:i/>
          <w:iCs/>
          <w:sz w:val="24"/>
          <w:szCs w:val="24"/>
          <w:rtl w:val="false"/>
        </w:rPr>
        <w:t xml:space="preserve">DeShaney v. Winnebago County Department of Social Services‎</w:t>
      </w:r>
      <w:r>
        <w:rPr>
          <w:rFonts w:ascii="Times New Roman" w:cs="David" w:eastAsia="David" w:hAnsi="Times New Roman"/>
          <w:sz w:val="24"/>
          <w:szCs w:val="24"/>
          <w:rtl w:val="false"/>
        </w:rPr>
        <w:t xml:space="preserve">, 489 U.S. 189 (1989).‎</w:t>
      </w:r>
    </w:p>
    <w:p>
      <w:pPr>
        <w:bidi w:val="false"/>
        <w:spacing w:after="100" w:line="276"/>
        <w:ind w:left="360" w:hanging="360"/>
        <w:jc w:val="left"/>
      </w:pPr>
      <w:r>
        <w:rPr>
          <w:rFonts w:ascii="Times New Roman" w:cs="David" w:eastAsia="David" w:hAnsi="Times New Roman"/>
          <w:i/>
          <w:iCs/>
          <w:sz w:val="24"/>
          <w:szCs w:val="24"/>
          <w:rtl w:val="false"/>
        </w:rPr>
        <w:t xml:space="preserve">Illinois v. Wardlow‎</w:t>
      </w:r>
      <w:r>
        <w:rPr>
          <w:rFonts w:ascii="Times New Roman" w:cs="David" w:eastAsia="David" w:hAnsi="Times New Roman"/>
          <w:sz w:val="24"/>
          <w:szCs w:val="24"/>
          <w:rtl w:val="false"/>
        </w:rPr>
        <w:t xml:space="preserve">, 528 U.S. 119 (2000).‎</w:t>
      </w:r>
    </w:p>
    <w:p>
      <w:pPr>
        <w:bidi w:val="false"/>
        <w:spacing w:after="100" w:line="276"/>
        <w:ind w:left="360" w:hanging="360"/>
        <w:jc w:val="left"/>
      </w:pPr>
      <w:r>
        <w:rPr>
          <w:rFonts w:ascii="Times New Roman" w:cs="David" w:eastAsia="David" w:hAnsi="Times New Roman"/>
          <w:i/>
          <w:iCs/>
          <w:sz w:val="24"/>
          <w:szCs w:val="24"/>
          <w:rtl w:val="false"/>
        </w:rPr>
        <w:t xml:space="preserve">Michael v. Chief Constable of South Wales Police‎</w:t>
      </w:r>
      <w:r>
        <w:rPr>
          <w:rFonts w:ascii="Times New Roman" w:cs="David" w:eastAsia="David" w:hAnsi="Times New Roman"/>
          <w:sz w:val="24"/>
          <w:szCs w:val="24"/>
          <w:rtl w:val="false"/>
        </w:rPr>
        <w:t xml:space="preserve"> [2015] UKSC 2.‎</w:t>
      </w:r>
    </w:p>
    <w:p>
      <w:pPr>
        <w:bidi w:val="false"/>
        <w:spacing w:after="100" w:line="276"/>
        <w:ind w:left="360" w:hanging="360"/>
        <w:jc w:val="left"/>
      </w:pPr>
      <w:r>
        <w:rPr>
          <w:rFonts w:ascii="Times New Roman" w:cs="David" w:eastAsia="David" w:hAnsi="Times New Roman"/>
          <w:i/>
          <w:iCs/>
          <w:sz w:val="24"/>
          <w:szCs w:val="24"/>
          <w:rtl w:val="false"/>
        </w:rPr>
        <w:t xml:space="preserve">Monell v. Department of Social Services‎</w:t>
      </w:r>
      <w:r>
        <w:rPr>
          <w:rFonts w:ascii="Times New Roman" w:cs="David" w:eastAsia="David" w:hAnsi="Times New Roman"/>
          <w:sz w:val="24"/>
          <w:szCs w:val="24"/>
          <w:rtl w:val="false"/>
        </w:rPr>
        <w:t xml:space="preserve">, 436 U.S. 658 (1978).‎</w:t>
      </w:r>
    </w:p>
    <w:p>
      <w:pPr>
        <w:bidi w:val="false"/>
        <w:spacing w:after="100" w:line="276"/>
        <w:ind w:left="360" w:hanging="360"/>
        <w:jc w:val="left"/>
      </w:pPr>
      <w:r>
        <w:rPr>
          <w:rFonts w:ascii="Times New Roman" w:cs="David" w:eastAsia="David" w:hAnsi="Times New Roman"/>
          <w:i/>
          <w:iCs/>
          <w:sz w:val="24"/>
          <w:szCs w:val="24"/>
          <w:rtl w:val="false"/>
        </w:rPr>
        <w:t xml:space="preserve">R (Roberts) v. Commissioner of Police of the Metropolis‎</w:t>
      </w:r>
      <w:r>
        <w:rPr>
          <w:rFonts w:ascii="Times New Roman" w:cs="David" w:eastAsia="David" w:hAnsi="Times New Roman"/>
          <w:sz w:val="24"/>
          <w:szCs w:val="24"/>
          <w:rtl w:val="false"/>
        </w:rPr>
        <w:t xml:space="preserve"> [2015] UKSC 79.‎</w:t>
      </w:r>
    </w:p>
    <w:p>
      <w:pPr>
        <w:bidi w:val="false"/>
        <w:spacing w:after="100" w:line="276"/>
        <w:ind w:left="360" w:hanging="360"/>
        <w:jc w:val="left"/>
      </w:pPr>
      <w:r>
        <w:rPr>
          <w:rFonts w:ascii="Times New Roman" w:cs="David" w:eastAsia="David" w:hAnsi="Times New Roman"/>
          <w:i/>
          <w:iCs/>
          <w:sz w:val="24"/>
          <w:szCs w:val="24"/>
          <w:rtl w:val="false"/>
        </w:rPr>
        <w:t xml:space="preserve">Terry v. Ohio‎</w:t>
      </w:r>
      <w:r>
        <w:rPr>
          <w:rFonts w:ascii="Times New Roman" w:cs="David" w:eastAsia="David" w:hAnsi="Times New Roman"/>
          <w:sz w:val="24"/>
          <w:szCs w:val="24"/>
          <w:rtl w:val="false"/>
        </w:rPr>
        <w:t xml:space="preserve">, 392 U.S. 1 (1968).‎</w:t>
      </w:r>
    </w:p>
    <w:p>
      <w:pPr>
        <w:bidi w:val="false"/>
        <w:spacing w:after="100" w:line="276"/>
        <w:ind w:left="360" w:hanging="360"/>
        <w:jc w:val="left"/>
      </w:pPr>
      <w:r>
        <w:rPr>
          <w:rFonts w:ascii="Times New Roman" w:cs="David" w:eastAsia="David" w:hAnsi="Times New Roman"/>
          <w:i/>
          <w:iCs/>
          <w:sz w:val="24"/>
          <w:szCs w:val="24"/>
          <w:rtl w:val="false"/>
        </w:rPr>
        <w:t xml:space="preserve">Town of Castle Rock v. Gonzales‎</w:t>
      </w:r>
      <w:r>
        <w:rPr>
          <w:rFonts w:ascii="Times New Roman" w:cs="David" w:eastAsia="David" w:hAnsi="Times New Roman"/>
          <w:sz w:val="24"/>
          <w:szCs w:val="24"/>
          <w:rtl w:val="false"/>
        </w:rPr>
        <w:t xml:space="preserve">, 545 U.S. 748 (2005).‎</w:t>
      </w:r>
    </w:p>
    <w:p>
      <w:pPr>
        <w:bidi w:val="false"/>
        <w:spacing w:after="100" w:line="276"/>
        <w:ind w:left="360" w:hanging="360"/>
        <w:jc w:val="left"/>
      </w:pPr>
      <w:r>
        <w:rPr>
          <w:rFonts w:ascii="Times New Roman" w:cs="David" w:eastAsia="David" w:hAnsi="Times New Roman"/>
          <w:i/>
          <w:iCs/>
          <w:sz w:val="24"/>
          <w:szCs w:val="24"/>
          <w:rtl w:val="false"/>
        </w:rPr>
        <w:t xml:space="preserve">United States v. Armstrong‎</w:t>
      </w:r>
      <w:r>
        <w:rPr>
          <w:rFonts w:ascii="Times New Roman" w:cs="David" w:eastAsia="David" w:hAnsi="Times New Roman"/>
          <w:sz w:val="24"/>
          <w:szCs w:val="24"/>
          <w:rtl w:val="false"/>
        </w:rPr>
        <w:t xml:space="preserve">, 517 U.S. 456 (1996).‎</w:t>
      </w:r>
    </w:p>
    <w:p>
      <w:pPr>
        <w:bidi w:val="false"/>
        <w:spacing w:after="100" w:line="276"/>
        <w:ind w:left="360" w:hanging="360"/>
        <w:jc w:val="left"/>
      </w:pPr>
      <w:r>
        <w:rPr>
          <w:rFonts w:ascii="Times New Roman" w:cs="David" w:eastAsia="David" w:hAnsi="Times New Roman"/>
          <w:i/>
          <w:iCs/>
          <w:sz w:val="24"/>
          <w:szCs w:val="24"/>
          <w:rtl w:val="false"/>
        </w:rPr>
        <w:t xml:space="preserve">Whren v. United States‎</w:t>
      </w:r>
      <w:r>
        <w:rPr>
          <w:rFonts w:ascii="Times New Roman" w:cs="David" w:eastAsia="David" w:hAnsi="Times New Roman"/>
          <w:sz w:val="24"/>
          <w:szCs w:val="24"/>
          <w:rtl w:val="false"/>
        </w:rPr>
        <w:t xml:space="preserve">, 517 U.S. 806 (1996).‎</w:t>
      </w:r>
    </w:p>
    <w:p>
      <w:pPr>
        <w:pStyle w:val="Heading2"/>
        <w:bidi/>
        <w:spacing w:after="160" w:before="240"/>
        <w:jc w:val="right"/>
      </w:pPr>
      <w:r>
        <w:rPr>
          <w:rFonts w:ascii="Times New Roman" w:cs="David" w:eastAsia="David" w:hAnsi="Times New Roman"/>
          <w:b/>
          <w:bCs/>
          <w:sz w:val="28"/>
          <w:szCs w:val="28"/>
          <w:rtl/>
        </w:rPr>
        <w:t xml:space="preserve">ספרות ודוחות בשפה האנגלית</w:t>
      </w:r>
    </w:p>
    <w:p>
      <w:pPr>
        <w:bidi w:val="false"/>
        <w:spacing w:after="100" w:line="276"/>
        <w:ind w:left="360" w:hanging="360"/>
        <w:jc w:val="left"/>
      </w:pPr>
      <w:r>
        <w:rPr>
          <w:rFonts w:ascii="Times New Roman" w:cs="David" w:eastAsia="David" w:hAnsi="Times New Roman"/>
          <w:sz w:val="24"/>
          <w:szCs w:val="24"/>
          <w:rtl w:val="false"/>
        </w:rPr>
        <w:t xml:space="preserve">Alexandra Natapoff, ‎</w:t>
      </w:r>
      <w:r>
        <w:rPr>
          <w:rFonts w:ascii="Times New Roman" w:cs="David" w:eastAsia="David" w:hAnsi="Times New Roman"/>
          <w:i/>
          <w:iCs/>
          <w:sz w:val="24"/>
          <w:szCs w:val="24"/>
          <w:rtl w:val="false"/>
        </w:rPr>
        <w:t xml:space="preserve">Underenforcement‎</w:t>
      </w:r>
      <w:r>
        <w:rPr>
          <w:rFonts w:ascii="Times New Roman" w:cs="David" w:eastAsia="David" w:hAnsi="Times New Roman"/>
          <w:sz w:val="24"/>
          <w:szCs w:val="24"/>
          <w:rtl w:val="false"/>
        </w:rPr>
        <w:t xml:space="preserve">, 75 FORDHAM L. REV. 1715 (2006).‎</w:t>
      </w:r>
    </w:p>
    <w:p>
      <w:pPr>
        <w:bidi w:val="false"/>
        <w:spacing w:after="100" w:line="276"/>
        <w:ind w:left="360" w:hanging="360"/>
        <w:jc w:val="left"/>
      </w:pPr>
      <w:r>
        <w:rPr>
          <w:rFonts w:ascii="Times New Roman" w:cs="David" w:eastAsia="David" w:hAnsi="Times New Roman"/>
          <w:sz w:val="24"/>
          <w:szCs w:val="24"/>
          <w:rtl w:val="false"/>
        </w:rPr>
        <w:t xml:space="preserve">Anthony A. Braga, Andrew V. Papachristos &amp; David M. Hureau, ‎</w:t>
      </w:r>
      <w:r>
        <w:rPr>
          <w:rFonts w:ascii="Times New Roman" w:cs="David" w:eastAsia="David" w:hAnsi="Times New Roman"/>
          <w:i/>
          <w:iCs/>
          <w:sz w:val="24"/>
          <w:szCs w:val="24"/>
          <w:rtl w:val="false"/>
        </w:rPr>
        <w:t xml:space="preserve">Hot Spots Policing Effects on Crime‎</w:t>
      </w:r>
      <w:r>
        <w:rPr>
          <w:rFonts w:ascii="Times New Roman" w:cs="David" w:eastAsia="David" w:hAnsi="Times New Roman"/>
          <w:sz w:val="24"/>
          <w:szCs w:val="24"/>
          <w:rtl w:val="false"/>
        </w:rPr>
        <w:t xml:space="preserve">, 8 CAMPBELL SYSTEMATIC REVS. 1 (2012).‎</w:t>
      </w:r>
    </w:p>
    <w:p>
      <w:pPr>
        <w:bidi w:val="false"/>
        <w:spacing w:after="100" w:line="276"/>
        <w:ind w:left="360" w:hanging="360"/>
        <w:jc w:val="left"/>
      </w:pPr>
      <w:r>
        <w:rPr>
          <w:rFonts w:ascii="Times New Roman" w:cs="David" w:eastAsia="David" w:hAnsi="Times New Roman"/>
          <w:sz w:val="24"/>
          <w:szCs w:val="24"/>
          <w:rtl w:val="false"/>
        </w:rPr>
        <w:t xml:space="preserve">Anthony A. Braga, David Weisburd &amp; Brandon Turchan, ‎</w:t>
      </w:r>
      <w:r>
        <w:rPr>
          <w:rFonts w:ascii="Times New Roman" w:cs="David" w:eastAsia="David" w:hAnsi="Times New Roman"/>
          <w:i/>
          <w:iCs/>
          <w:sz w:val="24"/>
          <w:szCs w:val="24"/>
          <w:rtl w:val="false"/>
        </w:rPr>
        <w:t xml:space="preserve">Focused Deterrence Strategies Effects on Crime: A Systematic Review‎</w:t>
      </w:r>
      <w:r>
        <w:rPr>
          <w:rFonts w:ascii="Times New Roman" w:cs="David" w:eastAsia="David" w:hAnsi="Times New Roman"/>
          <w:sz w:val="24"/>
          <w:szCs w:val="24"/>
          <w:rtl w:val="false"/>
        </w:rPr>
        <w:t xml:space="preserve">, 15 CAMPBELL SYSTEMATIC REVS. e1051 (2019).‎</w:t>
      </w:r>
    </w:p>
    <w:p>
      <w:pPr>
        <w:bidi w:val="false"/>
        <w:spacing w:after="100" w:line="276"/>
        <w:ind w:left="360" w:hanging="360"/>
        <w:jc w:val="left"/>
      </w:pPr>
      <w:r>
        <w:rPr>
          <w:rFonts w:ascii="Times New Roman" w:cs="David" w:eastAsia="David" w:hAnsi="Times New Roman"/>
          <w:sz w:val="24"/>
          <w:szCs w:val="24"/>
          <w:rtl w:val="false"/>
        </w:rPr>
        <w:t xml:space="preserve">Badi Hasisi &amp; Ronald Weitzer, ‎</w:t>
      </w:r>
      <w:r>
        <w:rPr>
          <w:rFonts w:ascii="Times New Roman" w:cs="David" w:eastAsia="David" w:hAnsi="Times New Roman"/>
          <w:i/>
          <w:iCs/>
          <w:sz w:val="24"/>
          <w:szCs w:val="24"/>
          <w:rtl w:val="false"/>
        </w:rPr>
        <w:t xml:space="preserve">Police Relations with Arabs and Jews in Israel‎</w:t>
      </w:r>
      <w:r>
        <w:rPr>
          <w:rFonts w:ascii="Times New Roman" w:cs="David" w:eastAsia="David" w:hAnsi="Times New Roman"/>
          <w:sz w:val="24"/>
          <w:szCs w:val="24"/>
          <w:rtl w:val="false"/>
        </w:rPr>
        <w:t xml:space="preserve">, 47 BRIT. J. CRIMINOLOGY 728 (2007).‎</w:t>
      </w:r>
    </w:p>
    <w:p>
      <w:pPr>
        <w:bidi w:val="false"/>
        <w:spacing w:after="100" w:line="276"/>
        <w:ind w:left="360" w:hanging="360"/>
        <w:jc w:val="left"/>
      </w:pPr>
      <w:r>
        <w:rPr>
          <w:rFonts w:ascii="Times New Roman" w:cs="David" w:eastAsia="David" w:hAnsi="Times New Roman"/>
          <w:sz w:val="24"/>
          <w:szCs w:val="24"/>
          <w:rtl w:val="false"/>
        </w:rPr>
        <w:t xml:space="preserve">Badi Hasisi, ‎</w:t>
      </w:r>
      <w:r>
        <w:rPr>
          <w:rFonts w:ascii="Times New Roman" w:cs="David" w:eastAsia="David" w:hAnsi="Times New Roman"/>
          <w:i/>
          <w:iCs/>
          <w:sz w:val="24"/>
          <w:szCs w:val="24"/>
          <w:rtl w:val="false"/>
        </w:rPr>
        <w:t xml:space="preserve">Police, Politics, and Culture in a Deeply Divided Society‎</w:t>
      </w:r>
      <w:r>
        <w:rPr>
          <w:rFonts w:ascii="Times New Roman" w:cs="David" w:eastAsia="David" w:hAnsi="Times New Roman"/>
          <w:sz w:val="24"/>
          <w:szCs w:val="24"/>
          <w:rtl w:val="false"/>
        </w:rPr>
        <w:t xml:space="preserve">, 98 J. CRIM. L. &amp; CRIMINOLOGY 1119 (2008).‎</w:t>
      </w:r>
    </w:p>
    <w:p>
      <w:pPr>
        <w:bidi w:val="false"/>
        <w:spacing w:after="100" w:line="276"/>
        <w:ind w:left="360" w:hanging="360"/>
        <w:jc w:val="left"/>
      </w:pPr>
      <w:r>
        <w:rPr>
          <w:rFonts w:ascii="Times New Roman" w:cs="David" w:eastAsia="David" w:hAnsi="Times New Roman"/>
          <w:sz w:val="24"/>
          <w:szCs w:val="24"/>
          <w:rtl w:val="false"/>
        </w:rPr>
        <w:t xml:space="preserve">David Lammy, The Lammy Review: An Independent Review into the Treatment of, and Outcomes for, Black, Asian and Minority Ethnic Individuals in the Criminal Justice System (2017).‎</w:t>
      </w:r>
    </w:p>
    <w:p>
      <w:pPr>
        <w:bidi w:val="false"/>
        <w:spacing w:after="100" w:line="276"/>
        <w:ind w:left="360" w:hanging="360"/>
        <w:jc w:val="left"/>
      </w:pPr>
      <w:r>
        <w:rPr>
          <w:rFonts w:ascii="Times New Roman" w:cs="David" w:eastAsia="David" w:hAnsi="Times New Roman"/>
          <w:sz w:val="24"/>
          <w:szCs w:val="24"/>
          <w:rtl w:val="false"/>
        </w:rPr>
        <w:t xml:space="preserve">Hannah Gaffney, Darrick Jolliffe &amp; Howard White, Hot Spot Policing: Toolkit Technical Report (2022).‎</w:t>
      </w:r>
    </w:p>
    <w:p>
      <w:pPr>
        <w:bidi w:val="false"/>
        <w:spacing w:after="100" w:line="276"/>
        <w:ind w:left="360" w:hanging="360"/>
        <w:jc w:val="left"/>
      </w:pPr>
      <w:r>
        <w:rPr>
          <w:rFonts w:ascii="Times New Roman" w:cs="David" w:eastAsia="David" w:hAnsi="Times New Roman"/>
          <w:sz w:val="24"/>
          <w:szCs w:val="24"/>
          <w:rtl w:val="false"/>
        </w:rPr>
        <w:t xml:space="preserve">Herman Goldstein, ‎</w:t>
      </w:r>
      <w:r>
        <w:rPr>
          <w:rFonts w:ascii="Times New Roman" w:cs="David" w:eastAsia="David" w:hAnsi="Times New Roman"/>
          <w:i/>
          <w:iCs/>
          <w:sz w:val="24"/>
          <w:szCs w:val="24"/>
          <w:rtl w:val="false"/>
        </w:rPr>
        <w:t xml:space="preserve">Improving Policing: A Problem-Oriented Approach‎</w:t>
      </w:r>
      <w:r>
        <w:rPr>
          <w:rFonts w:ascii="Times New Roman" w:cs="David" w:eastAsia="David" w:hAnsi="Times New Roman"/>
          <w:sz w:val="24"/>
          <w:szCs w:val="24"/>
          <w:rtl w:val="false"/>
        </w:rPr>
        <w:t xml:space="preserve">, 25 CRIME &amp; DELINQ. 236 (1979).‎</w:t>
      </w:r>
    </w:p>
    <w:p>
      <w:pPr>
        <w:bidi w:val="false"/>
        <w:spacing w:after="100" w:line="276"/>
        <w:ind w:left="360" w:hanging="360"/>
        <w:jc w:val="left"/>
      </w:pPr>
      <w:r>
        <w:rPr>
          <w:rFonts w:ascii="Times New Roman" w:cs="David" w:eastAsia="David" w:hAnsi="Times New Roman"/>
          <w:sz w:val="24"/>
          <w:szCs w:val="24"/>
          <w:rtl w:val="false"/>
        </w:rPr>
        <w:t xml:space="preserve">HM Inspectorate of Constabulary and Fire &amp; Rescue Services, Disproportionate Use of Police Powers: A Spotlight on Stop and Search and the Use of Force (2021).‎</w:t>
      </w:r>
    </w:p>
    <w:p>
      <w:pPr>
        <w:bidi w:val="false"/>
        <w:spacing w:after="100" w:line="276"/>
        <w:ind w:left="360" w:hanging="360"/>
        <w:jc w:val="left"/>
      </w:pPr>
      <w:r>
        <w:rPr>
          <w:rFonts w:ascii="Times New Roman" w:cs="David" w:eastAsia="David" w:hAnsi="Times New Roman"/>
          <w:sz w:val="24"/>
          <w:szCs w:val="24"/>
          <w:rtl w:val="false"/>
        </w:rPr>
        <w:t xml:space="preserve">Jason Sunshine &amp; Tom R. Tyler, ‎</w:t>
      </w:r>
      <w:r>
        <w:rPr>
          <w:rFonts w:ascii="Times New Roman" w:cs="David" w:eastAsia="David" w:hAnsi="Times New Roman"/>
          <w:i/>
          <w:iCs/>
          <w:sz w:val="24"/>
          <w:szCs w:val="24"/>
          <w:rtl w:val="false"/>
        </w:rPr>
        <w:t xml:space="preserve">The Role of Procedural Justice and Legitimacy in Shaping Public Support for Policing‎</w:t>
      </w:r>
      <w:r>
        <w:rPr>
          <w:rFonts w:ascii="Times New Roman" w:cs="David" w:eastAsia="David" w:hAnsi="Times New Roman"/>
          <w:sz w:val="24"/>
          <w:szCs w:val="24"/>
          <w:rtl w:val="false"/>
        </w:rPr>
        <w:t xml:space="preserve">, 37 LAW &amp; SOC'Y REV. 513 (2003).‎</w:t>
      </w:r>
    </w:p>
    <w:p>
      <w:pPr>
        <w:bidi w:val="false"/>
        <w:spacing w:after="100" w:line="276"/>
        <w:ind w:left="360" w:hanging="360"/>
        <w:jc w:val="left"/>
      </w:pPr>
      <w:r>
        <w:rPr>
          <w:rFonts w:ascii="Times New Roman" w:cs="David" w:eastAsia="David" w:hAnsi="Times New Roman"/>
          <w:sz w:val="24"/>
          <w:szCs w:val="24"/>
          <w:rtl w:val="false"/>
        </w:rPr>
        <w:t xml:space="preserve">John E. Eck &amp; William Spelman, Problem-Solving: Problem-Oriented Policing in Newport News (1987).‎</w:t>
      </w:r>
    </w:p>
    <w:p>
      <w:pPr>
        <w:bidi w:val="false"/>
        <w:spacing w:after="100" w:line="276"/>
        <w:ind w:left="360" w:hanging="360"/>
        <w:jc w:val="left"/>
      </w:pPr>
      <w:r>
        <w:rPr>
          <w:rFonts w:ascii="Times New Roman" w:cs="David" w:eastAsia="David" w:hAnsi="Times New Roman"/>
          <w:sz w:val="24"/>
          <w:szCs w:val="24"/>
          <w:rtl w:val="false"/>
        </w:rPr>
        <w:t xml:space="preserve">Joshua C. Hinkle, David Weisburd, Cody W. Telep &amp; Kevin Petersen, ‎</w:t>
      </w:r>
      <w:r>
        <w:rPr>
          <w:rFonts w:ascii="Times New Roman" w:cs="David" w:eastAsia="David" w:hAnsi="Times New Roman"/>
          <w:i/>
          <w:iCs/>
          <w:sz w:val="24"/>
          <w:szCs w:val="24"/>
          <w:rtl w:val="false"/>
        </w:rPr>
        <w:t xml:space="preserve">Problem-Oriented Policing for Reducing Crime and Disorder: An Updated Systematic Review and Meta-Analysis‎</w:t>
      </w:r>
      <w:r>
        <w:rPr>
          <w:rFonts w:ascii="Times New Roman" w:cs="David" w:eastAsia="David" w:hAnsi="Times New Roman"/>
          <w:sz w:val="24"/>
          <w:szCs w:val="24"/>
          <w:rtl w:val="false"/>
        </w:rPr>
        <w:t xml:space="preserve">, 16 CAMPBELL SYSTEMATIC REVS. e1089 (2020).‎</w:t>
      </w:r>
    </w:p>
    <w:p>
      <w:pPr>
        <w:bidi w:val="false"/>
        <w:spacing w:after="100" w:line="276"/>
        <w:ind w:left="360" w:hanging="360"/>
        <w:jc w:val="left"/>
      </w:pPr>
      <w:r>
        <w:rPr>
          <w:rFonts w:ascii="Times New Roman" w:cs="David" w:eastAsia="David" w:hAnsi="Times New Roman"/>
          <w:sz w:val="24"/>
          <w:szCs w:val="24"/>
          <w:rtl w:val="false"/>
        </w:rPr>
        <w:t xml:space="preserve">Matthew Desmond, Andrew V. Papachristos &amp; David S. Kirk, ‎</w:t>
      </w:r>
      <w:r>
        <w:rPr>
          <w:rFonts w:ascii="Times New Roman" w:cs="David" w:eastAsia="David" w:hAnsi="Times New Roman"/>
          <w:i/>
          <w:iCs/>
          <w:sz w:val="24"/>
          <w:szCs w:val="24"/>
          <w:rtl w:val="false"/>
        </w:rPr>
        <w:t xml:space="preserve">Police Violence and Citizen Crime Reporting in the Black Community‎</w:t>
      </w:r>
      <w:r>
        <w:rPr>
          <w:rFonts w:ascii="Times New Roman" w:cs="David" w:eastAsia="David" w:hAnsi="Times New Roman"/>
          <w:sz w:val="24"/>
          <w:szCs w:val="24"/>
          <w:rtl w:val="false"/>
        </w:rPr>
        <w:t xml:space="preserve">, 81 AM. SOCIO. REV. 857 (2016).‎</w:t>
      </w:r>
    </w:p>
    <w:p>
      <w:pPr>
        <w:bidi w:val="false"/>
        <w:spacing w:after="100" w:line="276"/>
        <w:ind w:left="360" w:hanging="360"/>
        <w:jc w:val="left"/>
      </w:pPr>
      <w:r>
        <w:rPr>
          <w:rFonts w:ascii="Times New Roman" w:cs="David" w:eastAsia="David" w:hAnsi="Times New Roman"/>
          <w:sz w:val="24"/>
          <w:szCs w:val="24"/>
          <w:rtl w:val="false"/>
        </w:rPr>
        <w:t xml:space="preserve">Michael S. Scott, Focused Deterrence of High-Risk Individuals (Problem-Oriented Guides for Police, Response Guide Series No. 13, 2017).‎</w:t>
      </w:r>
    </w:p>
    <w:p>
      <w:pPr>
        <w:bidi w:val="false"/>
        <w:spacing w:after="100" w:line="276"/>
        <w:ind w:left="360" w:hanging="360"/>
        <w:jc w:val="left"/>
      </w:pPr>
      <w:r>
        <w:rPr>
          <w:rFonts w:ascii="Times New Roman" w:cs="David" w:eastAsia="David" w:hAnsi="Times New Roman"/>
          <w:sz w:val="24"/>
          <w:szCs w:val="24"/>
          <w:rtl w:val="false"/>
        </w:rPr>
        <w:t xml:space="preserve">Monica C. Bell, ‎</w:t>
      </w:r>
      <w:r>
        <w:rPr>
          <w:rFonts w:ascii="Times New Roman" w:cs="David" w:eastAsia="David" w:hAnsi="Times New Roman"/>
          <w:i/>
          <w:iCs/>
          <w:sz w:val="24"/>
          <w:szCs w:val="24"/>
          <w:rtl w:val="false"/>
        </w:rPr>
        <w:t xml:space="preserve">Police Reform and the Dismantling of Legal Estrangement‎</w:t>
      </w:r>
      <w:r>
        <w:rPr>
          <w:rFonts w:ascii="Times New Roman" w:cs="David" w:eastAsia="David" w:hAnsi="Times New Roman"/>
          <w:sz w:val="24"/>
          <w:szCs w:val="24"/>
          <w:rtl w:val="false"/>
        </w:rPr>
        <w:t xml:space="preserve">, 126 YALE L.J. 2054 (2017).‎</w:t>
      </w:r>
    </w:p>
    <w:p>
      <w:pPr>
        <w:bidi w:val="false"/>
        <w:spacing w:after="100" w:line="276"/>
        <w:ind w:left="360" w:hanging="360"/>
        <w:jc w:val="left"/>
      </w:pPr>
      <w:r>
        <w:rPr>
          <w:rFonts w:ascii="Times New Roman" w:cs="David" w:eastAsia="David" w:hAnsi="Times New Roman"/>
          <w:sz w:val="24"/>
          <w:szCs w:val="24"/>
          <w:rtl w:val="false"/>
        </w:rPr>
        <w:t xml:space="preserve">National Network for Safe Communities, Group Violence Intervention: An Implementation Guide (2015).‎</w:t>
      </w:r>
    </w:p>
    <w:p>
      <w:pPr>
        <w:bidi w:val="false"/>
        <w:spacing w:after="100" w:line="276"/>
        <w:ind w:left="360" w:hanging="360"/>
        <w:jc w:val="left"/>
      </w:pPr>
      <w:r>
        <w:rPr>
          <w:rFonts w:ascii="Times New Roman" w:cs="David" w:eastAsia="David" w:hAnsi="Times New Roman"/>
          <w:sz w:val="24"/>
          <w:szCs w:val="24"/>
          <w:rtl w:val="false"/>
        </w:rPr>
        <w:t xml:space="preserve">Paul Dawson, Anthony DuGuay, Ryan Flanagan &amp; Abigail McNeill, Investigating Disproportionality in Stop and Search in London (2026).‎</w:t>
      </w:r>
    </w:p>
    <w:p>
      <w:pPr>
        <w:bidi w:val="false"/>
        <w:spacing w:after="100" w:line="276"/>
        <w:ind w:left="360" w:hanging="360"/>
        <w:jc w:val="left"/>
      </w:pPr>
      <w:r>
        <w:rPr>
          <w:rFonts w:ascii="Times New Roman" w:cs="David" w:eastAsia="David" w:hAnsi="Times New Roman"/>
          <w:sz w:val="24"/>
          <w:szCs w:val="24"/>
          <w:rtl w:val="false"/>
        </w:rPr>
        <w:t xml:space="preserve">President's Task Force on 21st Century Policing, Final Report (2015).‎</w:t>
      </w:r>
    </w:p>
    <w:p>
      <w:pPr>
        <w:bidi w:val="false"/>
        <w:spacing w:after="100" w:line="276"/>
        <w:ind w:left="360" w:hanging="360"/>
        <w:jc w:val="left"/>
      </w:pPr>
      <w:r>
        <w:rPr>
          <w:rFonts w:ascii="Times New Roman" w:cs="David" w:eastAsia="David" w:hAnsi="Times New Roman"/>
          <w:sz w:val="24"/>
          <w:szCs w:val="24"/>
          <w:rtl w:val="false"/>
        </w:rPr>
        <w:t xml:space="preserve">Proactive Policing: Effects on Crime and Communities (David Weisburd &amp; Malay K. Majmundar eds., 2018).‎</w:t>
      </w:r>
    </w:p>
    <w:p>
      <w:pPr>
        <w:bidi w:val="false"/>
        <w:spacing w:after="100" w:line="276"/>
        <w:ind w:left="360" w:hanging="360"/>
        <w:jc w:val="left"/>
      </w:pPr>
      <w:r>
        <w:rPr>
          <w:rFonts w:ascii="Times New Roman" w:cs="David" w:eastAsia="David" w:hAnsi="Times New Roman"/>
          <w:sz w:val="24"/>
          <w:szCs w:val="24"/>
          <w:rtl w:val="false"/>
        </w:rPr>
        <w:t xml:space="preserve">Statement of Interest of the United States, ‎</w:t>
      </w:r>
      <w:r>
        <w:rPr>
          <w:rFonts w:ascii="Times New Roman" w:cs="David" w:eastAsia="David" w:hAnsi="Times New Roman"/>
          <w:i/>
          <w:iCs/>
          <w:sz w:val="24"/>
          <w:szCs w:val="24"/>
          <w:rtl w:val="false"/>
        </w:rPr>
        <w:t xml:space="preserve">Floyd v. City of New York‎</w:t>
      </w:r>
      <w:r>
        <w:rPr>
          <w:rFonts w:ascii="Times New Roman" w:cs="David" w:eastAsia="David" w:hAnsi="Times New Roman"/>
          <w:sz w:val="24"/>
          <w:szCs w:val="24"/>
          <w:rtl w:val="false"/>
        </w:rPr>
        <w:t xml:space="preserve">, No. 08-cv-01034 (S.D.N.Y. June 12, 2013).‎</w:t>
      </w:r>
    </w:p>
    <w:p>
      <w:pPr>
        <w:bidi w:val="false"/>
        <w:spacing w:after="100" w:line="276"/>
        <w:ind w:left="360" w:hanging="360"/>
        <w:jc w:val="left"/>
      </w:pPr>
      <w:r>
        <w:rPr>
          <w:rFonts w:ascii="Times New Roman" w:cs="David" w:eastAsia="David" w:hAnsi="Times New Roman"/>
          <w:sz w:val="24"/>
          <w:szCs w:val="24"/>
          <w:rtl w:val="false"/>
        </w:rPr>
        <w:t xml:space="preserve">The Stephen Lawrence Inquiry: Report of an Inquiry by Sir William Macpherson of Cluny, Cm 4262-I (1999).‎</w:t>
      </w:r>
    </w:p>
    <w:p>
      <w:pPr>
        <w:bidi w:val="false"/>
        <w:spacing w:after="100" w:line="276"/>
        <w:ind w:left="360" w:hanging="360"/>
        <w:jc w:val="left"/>
      </w:pPr>
      <w:r>
        <w:rPr>
          <w:rFonts w:ascii="Times New Roman" w:cs="David" w:eastAsia="David" w:hAnsi="Times New Roman"/>
          <w:sz w:val="24"/>
          <w:szCs w:val="24"/>
          <w:rtl w:val="false"/>
        </w:rPr>
        <w:t xml:space="preserve">Tal Jonathan-Zamir &amp; Gali Perry, ‎</w:t>
      </w:r>
      <w:r>
        <w:rPr>
          <w:rFonts w:ascii="Times New Roman" w:cs="David" w:eastAsia="David" w:hAnsi="Times New Roman"/>
          <w:i/>
          <w:iCs/>
          <w:sz w:val="24"/>
          <w:szCs w:val="24"/>
          <w:rtl w:val="false"/>
        </w:rPr>
        <w:t xml:space="preserve">A Landmark in the Study of Proactive Policing: Commentary on Proactive Policing: Effects on Crime and Communities‎</w:t>
      </w:r>
      <w:r>
        <w:rPr>
          <w:rFonts w:ascii="Times New Roman" w:cs="David" w:eastAsia="David" w:hAnsi="Times New Roman"/>
          <w:sz w:val="24"/>
          <w:szCs w:val="24"/>
          <w:rtl w:val="false"/>
        </w:rPr>
        <w:t xml:space="preserve">, 24 JERUSALEM REV. LEGAL STUD. 1 (2021).‎</w:t>
      </w:r>
    </w:p>
    <w:p>
      <w:pPr>
        <w:bidi w:val="false"/>
        <w:spacing w:after="100" w:line="276"/>
        <w:ind w:left="360" w:hanging="360"/>
        <w:jc w:val="left"/>
      </w:pPr>
      <w:r>
        <w:rPr>
          <w:rFonts w:ascii="Times New Roman" w:cs="David" w:eastAsia="David" w:hAnsi="Times New Roman"/>
          <w:sz w:val="24"/>
          <w:szCs w:val="24"/>
          <w:rtl w:val="false"/>
        </w:rPr>
        <w:t xml:space="preserve">Tom R. Tyler, Phillip Atiba Goff &amp; Robert J. MacCoun, ‎</w:t>
      </w:r>
      <w:r>
        <w:rPr>
          <w:rFonts w:ascii="Times New Roman" w:cs="David" w:eastAsia="David" w:hAnsi="Times New Roman"/>
          <w:i/>
          <w:iCs/>
          <w:sz w:val="24"/>
          <w:szCs w:val="24"/>
          <w:rtl w:val="false"/>
        </w:rPr>
        <w:t xml:space="preserve">The Impact of Psychological Science on Policing in the United States: Procedural Justice, Legitimacy, and Effective Law Enforcement‎</w:t>
      </w:r>
      <w:r>
        <w:rPr>
          <w:rFonts w:ascii="Times New Roman" w:cs="David" w:eastAsia="David" w:hAnsi="Times New Roman"/>
          <w:sz w:val="24"/>
          <w:szCs w:val="24"/>
          <w:rtl w:val="false"/>
        </w:rPr>
        <w:t xml:space="preserve">, 16 PSYCHOL. SCI. PUB. INT. 75 (2015).‎</w:t>
      </w:r>
    </w:p>
    <w:p>
      <w:pPr>
        <w:bidi w:val="false"/>
        <w:spacing w:after="100" w:line="276"/>
        <w:ind w:left="360" w:hanging="360"/>
        <w:jc w:val="left"/>
      </w:pPr>
      <w:r>
        <w:rPr>
          <w:rFonts w:ascii="Times New Roman" w:cs="David" w:eastAsia="David" w:hAnsi="Times New Roman"/>
          <w:sz w:val="24"/>
          <w:szCs w:val="24"/>
          <w:rtl w:val="false"/>
        </w:rPr>
        <w:t xml:space="preserve">U.S. Department of Justice, Civil Rights Division, Investigation of the Ferguson Police Department (2015).‎</w:t>
      </w:r>
    </w:p>
    <w:p>
      <w:pPr>
        <w:bidi w:val="false"/>
        <w:spacing w:after="100" w:line="276"/>
        <w:ind w:left="360" w:hanging="360"/>
        <w:jc w:val="left"/>
      </w:pPr>
      <w:r>
        <w:rPr>
          <w:rFonts w:ascii="Times New Roman" w:cs="David" w:eastAsia="David" w:hAnsi="Times New Roman"/>
          <w:sz w:val="24"/>
          <w:szCs w:val="24"/>
          <w:rtl w:val="false"/>
        </w:rPr>
        <w:t xml:space="preserve">Wesley G. Skogan, ‎</w:t>
      </w:r>
      <w:r>
        <w:rPr>
          <w:rFonts w:ascii="Times New Roman" w:cs="David" w:eastAsia="David" w:hAnsi="Times New Roman"/>
          <w:i/>
          <w:iCs/>
          <w:sz w:val="24"/>
          <w:szCs w:val="24"/>
          <w:rtl w:val="false"/>
        </w:rPr>
        <w:t xml:space="preserve">Asymmetry in the Impact of Encounters with Police‎</w:t>
      </w:r>
      <w:r>
        <w:rPr>
          <w:rFonts w:ascii="Times New Roman" w:cs="David" w:eastAsia="David" w:hAnsi="Times New Roman"/>
          <w:sz w:val="24"/>
          <w:szCs w:val="24"/>
          <w:rtl w:val="false"/>
        </w:rPr>
        <w:t xml:space="preserve">, 16 POLICING &amp; SOC'Y 99 (2006).‎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Times New Roman" w:cs="David" w:eastAsia="David" w:hAnsi="Times New Roman"/>
          <w:sz w:val="20"/>
          <w:szCs w:val="20"/>
          <w:rtl w:val="false"/>
        </w:rPr>
        <w:t xml:space="preserve"> 3 (2018).</w:t>
      </w:r>
    </w:p>
  </w:footnote>
  <w:footnote w:id="2">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Times New Roman" w:cs="David" w:eastAsia="David" w:hAnsi="Times New Roman"/>
          <w:sz w:val="20"/>
          <w:szCs w:val="20"/>
          <w:rtl w:val="false"/>
        </w:rPr>
        <w:t xml:space="preserve"> 4-3 (2021).</w:t>
      </w:r>
    </w:p>
  </w:footnote>
  <w:footnote w:id="3">
    <w:p>
      <w:pPr>
        <w:bidi/>
        <w:spacing w:after="40" w:line="240"/>
        <w:jc w:val="both"/>
      </w:pPr>
      <w:r>
        <w:rPr>
          <w:rStyle w:val="FootnoteReference"/>
        </w:rPr>
        <w:footnoteRef/>
      </w:r>
      <w:r>
        <w:rPr>
          <w:rFonts w:ascii="Times New Roman" w:cs="David" w:eastAsia="David" w:hAnsi="Times New Roman"/>
          <w:sz w:val="20"/>
          <w:szCs w:val="20"/>
          <w:rtl/>
        </w:rPr>
        <w:t xml:space="preserve"> נורית יכימוביץ-כהן </w:t>
      </w:r>
      <w:r>
        <w:rPr>
          <w:rFonts w:ascii="Times New Roman" w:cs="David" w:eastAsia="David" w:hAnsi="Times New Roman"/>
          <w:b/>
          <w:bCs/>
          <w:sz w:val="20"/>
          <w:szCs w:val="20"/>
          <w:rtl/>
        </w:rPr>
        <w:t xml:space="preserve">סוגיות הקשורות לשיטור יתר ושימוש משטרתי בכוח כלפי קבוצות אוכלוסייה מסוימות</w:t>
      </w:r>
      <w:r>
        <w:rPr>
          <w:rFonts w:ascii="Times New Roman" w:cs="David" w:eastAsia="David" w:hAnsi="Times New Roman"/>
          <w:sz w:val="20"/>
          <w:szCs w:val="20"/>
          <w:rtl/>
        </w:rPr>
        <w:t xml:space="preserve"> 3 (הכנסת, מרכז המחקר והמידע, 2025).</w:t>
      </w:r>
    </w:p>
  </w:footnote>
  <w:footnote w:id="4">
    <w:p>
      <w:pPr>
        <w:bidi/>
        <w:spacing w:after="40" w:line="240"/>
        <w:jc w:val="both"/>
      </w:pPr>
      <w:r>
        <w:rPr>
          <w:rStyle w:val="FootnoteReference"/>
        </w:rPr>
        <w:footnoteRef/>
      </w:r>
      <w:r>
        <w:rPr>
          <w:rFonts w:ascii="Times New Roman" w:cs="David" w:eastAsia="David" w:hAnsi="Times New Roman"/>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Times New Roman" w:cs="David" w:eastAsia="David" w:hAnsi="Times New Roman"/>
          <w:b/>
          <w:bCs/>
          <w:sz w:val="20"/>
          <w:szCs w:val="20"/>
          <w:rtl/>
        </w:rPr>
        <w:t xml:space="preserve">משפטים על אתר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(2025).</w:t>
      </w:r>
    </w:p>
  </w:footnote>
  <w:footnote w:id="5">
    <w:p>
      <w:pPr>
        <w:bidi/>
        <w:spacing w:after="40" w:line="240"/>
        <w:jc w:val="both"/>
      </w:pPr>
      <w:r>
        <w:rPr>
          <w:rStyle w:val="FootnoteReference"/>
        </w:rPr>
        <w:footnoteRef/>
      </w:r>
      <w:r>
        <w:rPr>
          <w:rFonts w:ascii="Times New Roman" w:cs="David" w:eastAsia="David" w:hAnsi="Times New Roman"/>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152, 153-152, 157-155 (2020).</w:t>
      </w:r>
    </w:p>
  </w:footnote>
  <w:footnote w:id="6">
    <w:p>
      <w:pPr>
        <w:bidi/>
        <w:spacing w:after="40" w:line="240"/>
        <w:jc w:val="both"/>
      </w:pPr>
      <w:r>
        <w:rPr>
          <w:rStyle w:val="FootnoteReference"/>
        </w:rPr>
        <w:footnoteRef/>
      </w:r>
      <w:r>
        <w:rPr>
          <w:rFonts w:ascii="Times New Roman" w:cs="David" w:eastAsia="David" w:hAnsi="Times New Roman"/>
          <w:sz w:val="20"/>
          <w:szCs w:val="20"/>
          <w:rtl/>
        </w:rPr>
        <w:t xml:space="preserve"> שם, בעמ' 154.</w:t>
      </w:r>
    </w:p>
  </w:footnote>
  <w:footnote w:id="7">
    <w:p>
      <w:pPr>
        <w:bidi/>
        <w:spacing w:after="40" w:line="240"/>
        <w:jc w:val="both"/>
      </w:pPr>
      <w:r>
        <w:rPr>
          <w:rStyle w:val="FootnoteReference"/>
        </w:rPr>
        <w:footnoteRef/>
      </w:r>
      <w:r>
        <w:rPr>
          <w:rFonts w:ascii="Times New Roman" w:cs="David" w:eastAsia="David" w:hAnsi="Times New Roman"/>
          <w:sz w:val="20"/>
          <w:szCs w:val="20"/>
          <w:rtl/>
        </w:rPr>
        <w:t xml:space="preserve"> נורית יכימוביץ-כהן </w:t>
      </w:r>
      <w:r>
        <w:rPr>
          <w:rFonts w:ascii="Times New Roman" w:cs="David" w:eastAsia="David" w:hAnsi="Times New Roman"/>
          <w:b/>
          <w:bCs/>
          <w:sz w:val="20"/>
          <w:szCs w:val="20"/>
          <w:rtl/>
        </w:rPr>
        <w:t xml:space="preserve">פשיעה ועבריינות של צעירים ערבים: נתוני אכיפה</w:t>
      </w:r>
      <w:r>
        <w:rPr>
          <w:rFonts w:ascii="Times New Roman" w:cs="David" w:eastAsia="David" w:hAnsi="Times New Roman"/>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Times New Roman" w:cs="David" w:eastAsia="David" w:hAnsi="Times New Roman"/>
          <w:sz w:val="20"/>
          <w:szCs w:val="20"/>
          <w:rtl w:val="false"/>
        </w:rPr>
        <w:t xml:space="preserve"> Herman Goldstein, ‎</w:t>
      </w:r>
      <w:r>
        <w:rPr>
          <w:rFonts w:ascii="Times New Roman" w:cs="David" w:eastAsia="David" w:hAnsi="Times New Roman"/>
          <w:i/>
          <w:iCs/>
          <w:sz w:val="20"/>
          <w:szCs w:val="20"/>
          <w:rtl w:val="false"/>
        </w:rPr>
        <w:t xml:space="preserve">Improving Policing: A Problem-Oriented Approach‎</w:t>
      </w:r>
      <w:r>
        <w:rPr>
          <w:rFonts w:ascii="Times New Roman" w:cs="David" w:eastAsia="David" w:hAnsi="Times New Roman"/>
          <w:sz w:val="20"/>
          <w:szCs w:val="20"/>
          <w:rtl w:val="false"/>
        </w:rPr>
        <w:t xml:space="preserve">, 25 CRIME &amp; DELINQ. 236, 236 (1979).‎</w:t>
      </w:r>
    </w:p>
  </w:footnote>
  <w:footnote w:id="10">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11">
    <w:p>
      <w:pPr>
        <w:bidi/>
        <w:spacing w:after="40" w:line="240"/>
        <w:jc w:val="both"/>
      </w:pPr>
      <w:r>
        <w:rPr>
          <w:rStyle w:val="FootnoteReference"/>
        </w:rPr>
        <w:footnoteRef/>
      </w:r>
      <w:r>
        <w:rPr>
          <w:rFonts w:ascii="Times New Roman" w:cs="David" w:eastAsia="David" w:hAnsi="Times New Roman"/>
          <w:sz w:val="20"/>
          <w:szCs w:val="20"/>
          <w:rtl w:val="false"/>
        </w:rPr>
        <w:t xml:space="preserve"> Jason Sunshine &amp; Tom R. Tyler, ‎</w:t>
      </w:r>
      <w:r>
        <w:rPr>
          <w:rFonts w:ascii="Times New Roman" w:cs="David" w:eastAsia="David" w:hAnsi="Times New Roman"/>
          <w:i/>
          <w:iCs/>
          <w:sz w:val="20"/>
          <w:szCs w:val="20"/>
          <w:rtl w:val="false"/>
        </w:rPr>
        <w:t xml:space="preserve">The Role of Procedural Justice and Legitimacy in Shaping Public Support for Policing‎</w:t>
      </w:r>
      <w:r>
        <w:rPr>
          <w:rFonts w:ascii="Times New Roman" w:cs="David" w:eastAsia="David" w:hAnsi="Times New Roman"/>
          <w:sz w:val="20"/>
          <w:szCs w:val="20"/>
          <w:rtl w:val="false"/>
        </w:rPr>
        <w:t xml:space="preserve">, 37 LAW &amp; SOC'Y REV. 513, 513-514 (2003).‎</w:t>
      </w:r>
    </w:p>
  </w:footnote>
  <w:footnote w:id="12">
    <w:p>
      <w:pPr>
        <w:bidi/>
        <w:spacing w:after="40" w:line="240"/>
        <w:jc w:val="both"/>
      </w:pPr>
      <w:r>
        <w:rPr>
          <w:rStyle w:val="FootnoteReference"/>
        </w:rPr>
        <w:footnoteRef/>
      </w:r>
      <w:r>
        <w:rPr>
          <w:rFonts w:ascii="Times New Roman" w:cs="David" w:eastAsia="David" w:hAnsi="Times New Roman"/>
          <w:sz w:val="20"/>
          <w:szCs w:val="20"/>
          <w:rtl/>
        </w:rPr>
        <w:t xml:space="preserve"> בג"ץ 7074/93 </w:t>
      </w:r>
      <w:r>
        <w:rPr>
          <w:rFonts w:ascii="Times New Roman" w:cs="David" w:eastAsia="David" w:hAnsi="Times New Roman"/>
          <w:b/>
          <w:bCs/>
          <w:sz w:val="20"/>
          <w:szCs w:val="20"/>
          <w:rtl/>
        </w:rPr>
        <w:t xml:space="preserve">סויסא נ' היועץ המשפטי לממשלה</w:t>
      </w:r>
      <w:r>
        <w:rPr>
          <w:rFonts w:ascii="Times New Roman" w:cs="David" w:eastAsia="David" w:hAnsi="Times New Roman"/>
          <w:sz w:val="20"/>
          <w:szCs w:val="20"/>
          <w:rtl/>
        </w:rPr>
        <w:t xml:space="preserve">, פ"ד מח(2) 749, 784 (1994).</w:t>
      </w:r>
    </w:p>
  </w:footnote>
  <w:footnote w:id="13">
    <w:p>
      <w:pPr>
        <w:bidi/>
        <w:spacing w:after="40" w:line="240"/>
        <w:jc w:val="both"/>
      </w:pPr>
      <w:r>
        <w:rPr>
          <w:rStyle w:val="FootnoteReference"/>
        </w:rPr>
        <w:footnoteRef/>
      </w:r>
      <w:r>
        <w:rPr>
          <w:rFonts w:ascii="Times New Roman" w:cs="David" w:eastAsia="David" w:hAnsi="Times New Roman"/>
          <w:sz w:val="20"/>
          <w:szCs w:val="20"/>
          <w:rtl/>
        </w:rPr>
        <w:t xml:space="preserve"> בג"ץ 4455/19 </w:t>
      </w:r>
      <w:r>
        <w:rPr>
          <w:rFonts w:ascii="Times New Roman" w:cs="David" w:eastAsia="David" w:hAnsi="Times New Roman"/>
          <w:b/>
          <w:bCs/>
          <w:sz w:val="20"/>
          <w:szCs w:val="20"/>
          <w:rtl/>
        </w:rPr>
        <w:t xml:space="preserve">עמותת טבקה – צדק ושוויון ליוצאי אתיופיה נ' משטרת ישראל</w:t>
      </w:r>
      <w:r>
        <w:rPr>
          <w:rFonts w:ascii="Times New Roman" w:cs="David" w:eastAsia="David" w:hAnsi="Times New Roman"/>
          <w:sz w:val="20"/>
          <w:szCs w:val="20"/>
          <w:rtl/>
        </w:rPr>
        <w:t xml:space="preserve">, פס' 41 לפסק דינה של הנשיאה חיות (נבו 25.1.2021).</w:t>
      </w:r>
    </w:p>
  </w:footnote>
  <w:footnote w:id="14">
    <w:p>
      <w:pPr>
        <w:bidi/>
        <w:spacing w:after="40" w:line="240"/>
        <w:jc w:val="both"/>
      </w:pPr>
      <w:r>
        <w:rPr>
          <w:rStyle w:val="FootnoteReference"/>
        </w:rPr>
        <w:footnoteRef/>
      </w:r>
      <w:r>
        <w:rPr>
          <w:rFonts w:ascii="Times New Roman" w:cs="David" w:eastAsia="David" w:hAnsi="Times New Roman"/>
          <w:sz w:val="20"/>
          <w:szCs w:val="20"/>
          <w:rtl w:val="false"/>
        </w:rPr>
        <w:t xml:space="preserve"> Proactive Policing: Effects on Crime and Communities 173, 210 (David Weisburd &amp; Malay K. Majmundar eds., 2018).‎</w:t>
      </w:r>
    </w:p>
  </w:footnote>
  <w:footnote w:id="15">
    <w:p>
      <w:pPr>
        <w:bidi/>
        <w:spacing w:after="40" w:line="240"/>
        <w:jc w:val="both"/>
      </w:pPr>
      <w:r>
        <w:rPr>
          <w:rStyle w:val="FootnoteReference"/>
        </w:rPr>
        <w:footnoteRef/>
      </w:r>
      <w:r>
        <w:rPr>
          <w:rFonts w:ascii="Times New Roman" w:cs="David" w:eastAsia="David" w:hAnsi="Times New Roman"/>
          <w:sz w:val="20"/>
          <w:szCs w:val="20"/>
          <w:rtl w:val="false"/>
        </w:rPr>
        <w:t xml:space="preserve"> Tom R. Tyler, Phillip Atiba Goff &amp; Robert J. MacCoun, ‎</w:t>
      </w:r>
      <w:r>
        <w:rPr>
          <w:rFonts w:ascii="Times New Roman" w:cs="David" w:eastAsia="David" w:hAnsi="Times New Roman"/>
          <w:i/>
          <w:iCs/>
          <w:sz w:val="20"/>
          <w:szCs w:val="20"/>
          <w:rtl w:val="false"/>
        </w:rPr>
        <w:t xml:space="preserve">The Impact of Psychological Science on Policing in the United States: Procedural Justice, Legitimacy, and Effective Law Enforcement‎</w:t>
      </w:r>
      <w:r>
        <w:rPr>
          <w:rFonts w:ascii="Times New Roman" w:cs="David" w:eastAsia="David" w:hAnsi="Times New Roman"/>
          <w:sz w:val="20"/>
          <w:szCs w:val="20"/>
          <w:rtl w:val="false"/>
        </w:rPr>
        <w:t xml:space="preserve">, 16 PSYCHOL. SCI. PUB. INT. 75, 76 (2015).‎</w:t>
      </w:r>
    </w:p>
  </w:footnote>
  <w:footnote w:id="16">
    <w:p>
      <w:pPr>
        <w:bidi/>
        <w:spacing w:after="40" w:line="240"/>
        <w:jc w:val="both"/>
      </w:pPr>
      <w:r>
        <w:rPr>
          <w:rStyle w:val="FootnoteReference"/>
        </w:rPr>
        <w:footnoteRef/>
      </w:r>
      <w:r>
        <w:rPr>
          <w:rFonts w:ascii="Times New Roman" w:cs="David" w:eastAsia="David" w:hAnsi="Times New Roman"/>
          <w:sz w:val="20"/>
          <w:szCs w:val="20"/>
          <w:rtl w:val="false"/>
        </w:rPr>
        <w:t xml:space="preserve"> President's Task Force on 21st Century Policing, Final Report 1 (2015).‎</w:t>
      </w:r>
    </w:p>
  </w:footnote>
  <w:footnote w:id="1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118.</w:t>
      </w:r>
    </w:p>
  </w:footnote>
  <w:footnote w:id="1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Goldstein‎</w:t>
      </w:r>
      <w:r>
        <w:rPr>
          <w:rFonts w:ascii="Times New Roman" w:cs="David" w:eastAsia="David" w:hAnsi="Times New Roman"/>
          <w:sz w:val="20"/>
          <w:szCs w:val="20"/>
          <w:rtl/>
        </w:rPr>
        <w:t xml:space="preserve">, לעיל ה"ש 9, בעמ' 242.</w:t>
      </w:r>
    </w:p>
  </w:footnote>
  <w:footnote w:id="19">
    <w:p>
      <w:pPr>
        <w:bidi/>
        <w:spacing w:after="40" w:line="240"/>
        <w:jc w:val="both"/>
      </w:pPr>
      <w:r>
        <w:rPr>
          <w:rStyle w:val="FootnoteReference"/>
        </w:rPr>
        <w:footnoteRef/>
      </w:r>
      <w:r>
        <w:rPr>
          <w:rFonts w:ascii="Times New Roman" w:cs="David" w:eastAsia="David" w:hAnsi="Times New Roman"/>
          <w:sz w:val="20"/>
          <w:szCs w:val="20"/>
          <w:rtl w:val="false"/>
        </w:rPr>
        <w:t xml:space="preserve"> John E. Eck &amp; William Spelman, Problem-Solving: Problem-Oriented Policing in Newport News xix (1987).‎</w:t>
      </w:r>
    </w:p>
  </w:footnote>
  <w:footnote w:id="20">
    <w:p>
      <w:pPr>
        <w:bidi/>
        <w:spacing w:after="40" w:line="240"/>
        <w:jc w:val="both"/>
      </w:pPr>
      <w:r>
        <w:rPr>
          <w:rStyle w:val="FootnoteReference"/>
        </w:rPr>
        <w:footnoteRef/>
      </w:r>
      <w:r>
        <w:rPr>
          <w:rFonts w:ascii="Times New Roman" w:cs="David" w:eastAsia="David" w:hAnsi="Times New Roman"/>
          <w:sz w:val="20"/>
          <w:szCs w:val="20"/>
          <w:rtl w:val="false"/>
        </w:rPr>
        <w:t xml:space="preserve"> Joshua C. Hinkle, David Weisburd, Cody W. Telep &amp; Kevin Petersen, ‎</w:t>
      </w:r>
      <w:r>
        <w:rPr>
          <w:rFonts w:ascii="Times New Roman" w:cs="David" w:eastAsia="David" w:hAnsi="Times New Roman"/>
          <w:i/>
          <w:iCs/>
          <w:sz w:val="20"/>
          <w:szCs w:val="20"/>
          <w:rtl w:val="false"/>
        </w:rPr>
        <w:t xml:space="preserve">Problem-Oriented Policing for Reducing Crime and Disorder: An Updated Systematic Review and Meta-Analysis‎</w:t>
      </w:r>
      <w:r>
        <w:rPr>
          <w:rFonts w:ascii="Times New Roman" w:cs="David" w:eastAsia="David" w:hAnsi="Times New Roman"/>
          <w:sz w:val="20"/>
          <w:szCs w:val="20"/>
          <w:rtl w:val="false"/>
        </w:rPr>
        <w:t xml:space="preserve">, 16 CAMPBELL SYSTEMATIC REVS. e1089, §§ 5.3, 5.5, 6.1 (2020).‎</w:t>
      </w:r>
    </w:p>
  </w:footnote>
  <w:footnote w:id="21">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42-44.</w:t>
      </w:r>
    </w:p>
  </w:footnote>
  <w:footnote w:id="22">
    <w:p>
      <w:pPr>
        <w:bidi/>
        <w:spacing w:after="40" w:line="240"/>
        <w:jc w:val="both"/>
      </w:pPr>
      <w:r>
        <w:rPr>
          <w:rStyle w:val="FootnoteReference"/>
        </w:rPr>
        <w:footnoteRef/>
      </w:r>
      <w:r>
        <w:rPr>
          <w:rFonts w:ascii="Times New Roman" w:cs="David" w:eastAsia="David" w:hAnsi="Times New Roman"/>
          <w:sz w:val="20"/>
          <w:szCs w:val="20"/>
          <w:rtl w:val="false"/>
        </w:rPr>
        <w:t xml:space="preserve"> Anthony A. Braga, Andrew V. Papachristos &amp; David M. Hureau, ‎</w:t>
      </w:r>
      <w:r>
        <w:rPr>
          <w:rFonts w:ascii="Times New Roman" w:cs="David" w:eastAsia="David" w:hAnsi="Times New Roman"/>
          <w:i/>
          <w:iCs/>
          <w:sz w:val="20"/>
          <w:szCs w:val="20"/>
          <w:rtl w:val="false"/>
        </w:rPr>
        <w:t xml:space="preserve">Hot Spots Policing Effects on Crime‎</w:t>
      </w:r>
      <w:r>
        <w:rPr>
          <w:rFonts w:ascii="Times New Roman" w:cs="David" w:eastAsia="David" w:hAnsi="Times New Roman"/>
          <w:sz w:val="20"/>
          <w:szCs w:val="20"/>
          <w:rtl w:val="false"/>
        </w:rPr>
        <w:t xml:space="preserve">, 8 CAMPBELL SYSTEMATIC REVS. 1, 8, 24-26 (2012).‎</w:t>
      </w:r>
    </w:p>
  </w:footnote>
  <w:footnote w:id="23">
    <w:p>
      <w:pPr>
        <w:bidi/>
        <w:spacing w:after="40" w:line="240"/>
        <w:jc w:val="both"/>
      </w:pPr>
      <w:r>
        <w:rPr>
          <w:rStyle w:val="FootnoteReference"/>
        </w:rPr>
        <w:footnoteRef/>
      </w:r>
      <w:r>
        <w:rPr>
          <w:rFonts w:ascii="Times New Roman" w:cs="David" w:eastAsia="David" w:hAnsi="Times New Roman"/>
          <w:sz w:val="20"/>
          <w:szCs w:val="20"/>
          <w:rtl w:val="false"/>
        </w:rPr>
        <w:t xml:space="preserve"> Hannah Gaffney, Darrick Jolliffe &amp; Howard White, Hot Spot Policing: Toolkit Technical Report 4 (2022).‎</w:t>
      </w:r>
    </w:p>
  </w:footnote>
  <w:footnote w:id="24">
    <w:p>
      <w:pPr>
        <w:bidi/>
        <w:spacing w:after="40" w:line="240"/>
        <w:jc w:val="both"/>
      </w:pPr>
      <w:r>
        <w:rPr>
          <w:rStyle w:val="FootnoteReference"/>
        </w:rPr>
        <w:footnoteRef/>
      </w:r>
      <w:r>
        <w:rPr>
          <w:rFonts w:ascii="Times New Roman" w:cs="David" w:eastAsia="David" w:hAnsi="Times New Roman"/>
          <w:sz w:val="20"/>
          <w:szCs w:val="20"/>
          <w:rtl w:val="false"/>
        </w:rPr>
        <w:t xml:space="preserve"> Anthony A. Braga, David Weisburd &amp; Brandon Turchan, ‎</w:t>
      </w:r>
      <w:r>
        <w:rPr>
          <w:rFonts w:ascii="Times New Roman" w:cs="David" w:eastAsia="David" w:hAnsi="Times New Roman"/>
          <w:i/>
          <w:iCs/>
          <w:sz w:val="20"/>
          <w:szCs w:val="20"/>
          <w:rtl w:val="false"/>
        </w:rPr>
        <w:t xml:space="preserve">Focused Deterrence Strategies Effects on Crime: A Systematic Review‎</w:t>
      </w:r>
      <w:r>
        <w:rPr>
          <w:rFonts w:ascii="Times New Roman" w:cs="David" w:eastAsia="David" w:hAnsi="Times New Roman"/>
          <w:sz w:val="20"/>
          <w:szCs w:val="20"/>
          <w:rtl w:val="false"/>
        </w:rPr>
        <w:t xml:space="preserve">, 15 CAMPBELL SYSTEMATIC REVS. e1051, §§ 1.2, 1.4, 2.6 (2019).‎</w:t>
      </w:r>
    </w:p>
  </w:footnote>
  <w:footnote w:id="25">
    <w:p>
      <w:pPr>
        <w:bidi/>
        <w:spacing w:after="40" w:line="240"/>
        <w:jc w:val="both"/>
      </w:pPr>
      <w:r>
        <w:rPr>
          <w:rStyle w:val="FootnoteReference"/>
        </w:rPr>
        <w:footnoteRef/>
      </w:r>
      <w:r>
        <w:rPr>
          <w:rFonts w:ascii="Times New Roman" w:cs="David" w:eastAsia="David" w:hAnsi="Times New Roman"/>
          <w:sz w:val="20"/>
          <w:szCs w:val="20"/>
          <w:rtl w:val="false"/>
        </w:rPr>
        <w:t xml:space="preserve"> Michael S. Scott, Focused Deterrence of High-Risk Individuals 8 (Problem-Oriented Guides for Police, Response Guide Series No. 13, 2017).‎</w:t>
      </w:r>
    </w:p>
  </w:footnote>
  <w:footnote w:id="2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301.</w:t>
      </w:r>
    </w:p>
  </w:footnote>
  <w:footnote w:id="27">
    <w:p>
      <w:pPr>
        <w:bidi/>
        <w:spacing w:after="40" w:line="240"/>
        <w:jc w:val="both"/>
      </w:pPr>
      <w:r>
        <w:rPr>
          <w:rStyle w:val="FootnoteReference"/>
        </w:rPr>
        <w:footnoteRef/>
      </w:r>
      <w:r>
        <w:rPr>
          <w:rFonts w:ascii="Times New Roman" w:cs="David" w:eastAsia="David" w:hAnsi="Times New Roman"/>
          <w:sz w:val="20"/>
          <w:szCs w:val="20"/>
          <w:rtl/>
        </w:rPr>
        <w:t xml:space="preserve"> שם, בעמ' 209.</w:t>
      </w:r>
    </w:p>
  </w:footnote>
  <w:footnote w:id="28">
    <w:p>
      <w:pPr>
        <w:bidi/>
        <w:spacing w:after="40" w:line="240"/>
        <w:jc w:val="both"/>
      </w:pPr>
      <w:r>
        <w:rPr>
          <w:rStyle w:val="FootnoteReference"/>
        </w:rPr>
        <w:footnoteRef/>
      </w:r>
      <w:r>
        <w:rPr>
          <w:rFonts w:ascii="Times New Roman" w:cs="David" w:eastAsia="David" w:hAnsi="Times New Roman"/>
          <w:sz w:val="20"/>
          <w:szCs w:val="20"/>
          <w:rtl/>
        </w:rPr>
        <w:t xml:space="preserve"> שם, בעמ' 210.</w:t>
      </w:r>
    </w:p>
  </w:footnote>
  <w:footnote w:id="29">
    <w:p>
      <w:pPr>
        <w:bidi/>
        <w:spacing w:after="40" w:line="240"/>
        <w:jc w:val="both"/>
      </w:pPr>
      <w:r>
        <w:rPr>
          <w:rStyle w:val="FootnoteReference"/>
        </w:rPr>
        <w:footnoteRef/>
      </w:r>
      <w:r>
        <w:rPr>
          <w:rFonts w:ascii="Times New Roman" w:cs="David" w:eastAsia="David" w:hAnsi="Times New Roman"/>
          <w:sz w:val="20"/>
          <w:szCs w:val="20"/>
          <w:rtl w:val="false"/>
        </w:rPr>
        <w:t xml:space="preserve"> Alexandra Natapoff, ‎</w:t>
      </w:r>
      <w:r>
        <w:rPr>
          <w:rFonts w:ascii="Times New Roman" w:cs="David" w:eastAsia="David" w:hAnsi="Times New Roman"/>
          <w:i/>
          <w:iCs/>
          <w:sz w:val="20"/>
          <w:szCs w:val="20"/>
          <w:rtl w:val="false"/>
        </w:rPr>
        <w:t xml:space="preserve">Underenforcement‎</w:t>
      </w:r>
      <w:r>
        <w:rPr>
          <w:rFonts w:ascii="Times New Roman" w:cs="David" w:eastAsia="David" w:hAnsi="Times New Roman"/>
          <w:sz w:val="20"/>
          <w:szCs w:val="20"/>
          <w:rtl w:val="false"/>
        </w:rPr>
        <w:t xml:space="preserve">, 75 FORDHAM L. REV. 1715, 1715-1719 (2006).‎</w:t>
      </w:r>
    </w:p>
  </w:footnote>
  <w:footnote w:id="30">
    <w:p>
      <w:pPr>
        <w:bidi/>
        <w:spacing w:after="40" w:line="240"/>
        <w:jc w:val="both"/>
      </w:pPr>
      <w:r>
        <w:rPr>
          <w:rStyle w:val="FootnoteReference"/>
        </w:rPr>
        <w:footnoteRef/>
      </w:r>
      <w:r>
        <w:rPr>
          <w:rFonts w:ascii="Times New Roman" w:cs="David" w:eastAsia="David" w:hAnsi="Times New Roman"/>
          <w:sz w:val="20"/>
          <w:szCs w:val="20"/>
          <w:rtl/>
        </w:rPr>
        <w:t xml:space="preserve"> באדי חסייסי ויעל ליטמנוביץ "חתירה למגע אחר: שיטור החברה הערבית בישראל, נקודת המבט של מפקדי תחנות"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119, 121 (2017).</w:t>
      </w:r>
    </w:p>
  </w:footnote>
  <w:footnote w:id="31">
    <w:p>
      <w:pPr>
        <w:bidi/>
        <w:spacing w:after="40" w:line="240"/>
        <w:jc w:val="both"/>
      </w:pPr>
      <w:r>
        <w:rPr>
          <w:rStyle w:val="FootnoteReference"/>
        </w:rPr>
        <w:footnoteRef/>
      </w:r>
      <w:r>
        <w:rPr>
          <w:rFonts w:ascii="Times New Roman" w:cs="David" w:eastAsia="David" w:hAnsi="Times New Roman"/>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226, 231 (2020).</w:t>
      </w:r>
    </w:p>
  </w:footnote>
  <w:footnote w:id="32">
    <w:p>
      <w:pPr>
        <w:bidi/>
        <w:spacing w:after="40" w:line="240"/>
        <w:jc w:val="both"/>
      </w:pPr>
      <w:r>
        <w:rPr>
          <w:rStyle w:val="FootnoteReference"/>
        </w:rPr>
        <w:footnoteRef/>
      </w:r>
      <w:r>
        <w:rPr>
          <w:rFonts w:ascii="Times New Roman" w:cs="David" w:eastAsia="David" w:hAnsi="Times New Roman"/>
          <w:sz w:val="20"/>
          <w:szCs w:val="20"/>
          <w:rtl w:val="false"/>
        </w:rPr>
        <w:t xml:space="preserve"> Monica C. Bell, ‎</w:t>
      </w:r>
      <w:r>
        <w:rPr>
          <w:rFonts w:ascii="Times New Roman" w:cs="David" w:eastAsia="David" w:hAnsi="Times New Roman"/>
          <w:i/>
          <w:iCs/>
          <w:sz w:val="20"/>
          <w:szCs w:val="20"/>
          <w:rtl w:val="false"/>
        </w:rPr>
        <w:t xml:space="preserve">Police Reform and the Dismantling of Legal Estrangement‎</w:t>
      </w:r>
      <w:r>
        <w:rPr>
          <w:rFonts w:ascii="Times New Roman" w:cs="David" w:eastAsia="David" w:hAnsi="Times New Roman"/>
          <w:sz w:val="20"/>
          <w:szCs w:val="20"/>
          <w:rtl w:val="false"/>
        </w:rPr>
        <w:t xml:space="preserve">, 126 YALE L.J. 2054, 2054 (2017).‎</w:t>
      </w:r>
    </w:p>
  </w:footnote>
  <w:footnote w:id="33">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3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Sunshine &amp; Tyler‎</w:t>
      </w:r>
      <w:r>
        <w:rPr>
          <w:rFonts w:ascii="Times New Roman" w:cs="David" w:eastAsia="David" w:hAnsi="Times New Roman"/>
          <w:sz w:val="20"/>
          <w:szCs w:val="20"/>
          <w:rtl/>
        </w:rPr>
        <w:t xml:space="preserve">, לעיל ה"ש 11, בעמ' 513.</w:t>
      </w:r>
    </w:p>
  </w:footnote>
  <w:footnote w:id="3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Tyler, Goff &amp; MacCoun‎</w:t>
      </w:r>
      <w:r>
        <w:rPr>
          <w:rFonts w:ascii="Times New Roman" w:cs="David" w:eastAsia="David" w:hAnsi="Times New Roman"/>
          <w:sz w:val="20"/>
          <w:szCs w:val="20"/>
          <w:rtl/>
        </w:rPr>
        <w:t xml:space="preserve">, לעיל ה"ש 15, בעמ' 75.</w:t>
      </w:r>
    </w:p>
  </w:footnote>
  <w:footnote w:id="36">
    <w:p>
      <w:pPr>
        <w:bidi/>
        <w:spacing w:after="40" w:line="240"/>
        <w:jc w:val="both"/>
      </w:pPr>
      <w:r>
        <w:rPr>
          <w:rStyle w:val="FootnoteReference"/>
        </w:rPr>
        <w:footnoteRef/>
      </w:r>
      <w:r>
        <w:rPr>
          <w:rFonts w:ascii="Times New Roman" w:cs="David" w:eastAsia="David" w:hAnsi="Times New Roman"/>
          <w:sz w:val="20"/>
          <w:szCs w:val="20"/>
          <w:rtl w:val="false"/>
        </w:rPr>
        <w:t xml:space="preserve"> Wesley G. Skogan, ‎</w:t>
      </w:r>
      <w:r>
        <w:rPr>
          <w:rFonts w:ascii="Times New Roman" w:cs="David" w:eastAsia="David" w:hAnsi="Times New Roman"/>
          <w:i/>
          <w:iCs/>
          <w:sz w:val="20"/>
          <w:szCs w:val="20"/>
          <w:rtl w:val="false"/>
        </w:rPr>
        <w:t xml:space="preserve">Asymmetry in the Impact of Encounters with Police‎</w:t>
      </w:r>
      <w:r>
        <w:rPr>
          <w:rFonts w:ascii="Times New Roman" w:cs="David" w:eastAsia="David" w:hAnsi="Times New Roman"/>
          <w:sz w:val="20"/>
          <w:szCs w:val="20"/>
          <w:rtl w:val="false"/>
        </w:rPr>
        <w:t xml:space="preserve">, 16 POLICING &amp; SOC'Y 99, 112-113, 117-118 (2006).‎</w:t>
      </w:r>
    </w:p>
  </w:footnote>
  <w:footnote w:id="37">
    <w:p>
      <w:pPr>
        <w:bidi/>
        <w:spacing w:after="40" w:line="240"/>
        <w:jc w:val="both"/>
      </w:pPr>
      <w:r>
        <w:rPr>
          <w:rStyle w:val="FootnoteReference"/>
        </w:rPr>
        <w:footnoteRef/>
      </w:r>
      <w:r>
        <w:rPr>
          <w:rFonts w:ascii="Times New Roman" w:cs="David" w:eastAsia="David" w:hAnsi="Times New Roman"/>
          <w:sz w:val="20"/>
          <w:szCs w:val="20"/>
          <w:rtl w:val="false"/>
        </w:rPr>
        <w:t xml:space="preserve"> Matthew Desmond, Andrew V. Papachristos &amp; David S. Kirk, ‎</w:t>
      </w:r>
      <w:r>
        <w:rPr>
          <w:rFonts w:ascii="Times New Roman" w:cs="David" w:eastAsia="David" w:hAnsi="Times New Roman"/>
          <w:i/>
          <w:iCs/>
          <w:sz w:val="20"/>
          <w:szCs w:val="20"/>
          <w:rtl w:val="false"/>
        </w:rPr>
        <w:t xml:space="preserve">Police Violence and Citizen Crime Reporting in the Black Community‎</w:t>
      </w:r>
      <w:r>
        <w:rPr>
          <w:rFonts w:ascii="Times New Roman" w:cs="David" w:eastAsia="David" w:hAnsi="Times New Roman"/>
          <w:sz w:val="20"/>
          <w:szCs w:val="20"/>
          <w:rtl w:val="false"/>
        </w:rPr>
        <w:t xml:space="preserve">, 81 AM. SOCIO. REV. 857, 865-868 (2016).‎</w:t>
      </w:r>
    </w:p>
  </w:footnote>
  <w:footnote w:id="3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209.</w:t>
      </w:r>
    </w:p>
  </w:footnote>
  <w:footnote w:id="39">
    <w:p>
      <w:pPr>
        <w:bidi/>
        <w:spacing w:after="40" w:line="240"/>
        <w:jc w:val="both"/>
      </w:pPr>
      <w:r>
        <w:rPr>
          <w:rStyle w:val="FootnoteReference"/>
        </w:rPr>
        <w:footnoteRef/>
      </w:r>
      <w:r>
        <w:rPr>
          <w:rFonts w:ascii="Times New Roman" w:cs="David" w:eastAsia="David" w:hAnsi="Times New Roman"/>
          <w:sz w:val="20"/>
          <w:szCs w:val="20"/>
          <w:rtl/>
        </w:rPr>
        <w:t xml:space="preserve"> שם, בעמ' 210.</w:t>
      </w:r>
    </w:p>
  </w:footnote>
  <w:footnote w:id="40">
    <w:p>
      <w:pPr>
        <w:bidi/>
        <w:spacing w:after="40" w:line="240"/>
        <w:jc w:val="both"/>
      </w:pPr>
      <w:r>
        <w:rPr>
          <w:rStyle w:val="FootnoteReference"/>
        </w:rPr>
        <w:footnoteRef/>
      </w:r>
      <w:r>
        <w:rPr>
          <w:rFonts w:ascii="Times New Roman" w:cs="David" w:eastAsia="David" w:hAnsi="Times New Roman"/>
          <w:sz w:val="20"/>
          <w:szCs w:val="20"/>
          <w:rtl/>
        </w:rPr>
        <w:t xml:space="preserve"> ע"פ 9878/09 </w:t>
      </w:r>
      <w:r>
        <w:rPr>
          <w:rFonts w:ascii="Times New Roman" w:cs="David" w:eastAsia="David" w:hAnsi="Times New Roman"/>
          <w:b/>
          <w:bCs/>
          <w:sz w:val="20"/>
          <w:szCs w:val="20"/>
          <w:rtl/>
        </w:rPr>
        <w:t xml:space="preserve">מדינת ישראל נ' מוסא</w:t>
      </w:r>
      <w:r>
        <w:rPr>
          <w:rFonts w:ascii="Times New Roman" w:cs="David" w:eastAsia="David" w:hAnsi="Times New Roman"/>
          <w:sz w:val="20"/>
          <w:szCs w:val="20"/>
          <w:rtl/>
        </w:rPr>
        <w:t xml:space="preserve">, פס' 29 (נבו 20.9.2010).</w:t>
      </w:r>
    </w:p>
  </w:footnote>
  <w:footnote w:id="41">
    <w:p>
      <w:pPr>
        <w:bidi/>
        <w:spacing w:after="40" w:line="240"/>
        <w:jc w:val="both"/>
      </w:pPr>
      <w:r>
        <w:rPr>
          <w:rStyle w:val="FootnoteReference"/>
        </w:rPr>
        <w:footnoteRef/>
      </w:r>
      <w:r>
        <w:rPr>
          <w:rFonts w:ascii="Times New Roman" w:cs="David" w:eastAsia="David" w:hAnsi="Times New Roman"/>
          <w:sz w:val="20"/>
          <w:szCs w:val="20"/>
          <w:rtl/>
        </w:rPr>
        <w:t xml:space="preserve"> ס' 2 לחוק החזקת תעודת זהות והצגתה, התשמ"ג–1982.</w:t>
      </w:r>
    </w:p>
  </w:footnote>
  <w:footnote w:id="42">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22, 36-35 לפסק דינה של הנשיאה חיות.</w:t>
      </w:r>
    </w:p>
  </w:footnote>
  <w:footnote w:id="43">
    <w:p>
      <w:pPr>
        <w:bidi/>
        <w:spacing w:after="40" w:line="240"/>
        <w:jc w:val="both"/>
      </w:pPr>
      <w:r>
        <w:rPr>
          <w:rStyle w:val="FootnoteReference"/>
        </w:rPr>
        <w:footnoteRef/>
      </w:r>
      <w:r>
        <w:rPr>
          <w:rFonts w:ascii="Times New Roman" w:cs="David" w:eastAsia="David" w:hAnsi="Times New Roman"/>
          <w:sz w:val="20"/>
          <w:szCs w:val="20"/>
          <w:rtl/>
        </w:rPr>
        <w:t xml:space="preserve"> שם, בפס' 35 לפסק דינה של הנשיאה חיות.</w:t>
      </w:r>
    </w:p>
  </w:footnote>
  <w:footnote w:id="44">
    <w:p>
      <w:pPr>
        <w:bidi/>
        <w:spacing w:after="40" w:line="240"/>
        <w:jc w:val="both"/>
      </w:pPr>
      <w:r>
        <w:rPr>
          <w:rStyle w:val="FootnoteReference"/>
        </w:rPr>
        <w:footnoteRef/>
      </w:r>
      <w:r>
        <w:rPr>
          <w:rFonts w:ascii="Times New Roman" w:cs="David" w:eastAsia="David" w:hAnsi="Times New Roman"/>
          <w:sz w:val="20"/>
          <w:szCs w:val="20"/>
          <w:rtl/>
        </w:rPr>
        <w:t xml:space="preserve"> שם, בפס' 41 לפסק דינה של הנשיאה חיות.</w:t>
      </w:r>
    </w:p>
  </w:footnote>
  <w:footnote w:id="45">
    <w:p>
      <w:pPr>
        <w:bidi/>
        <w:spacing w:after="40" w:line="240"/>
        <w:jc w:val="both"/>
      </w:pPr>
      <w:r>
        <w:rPr>
          <w:rStyle w:val="FootnoteReference"/>
        </w:rPr>
        <w:footnoteRef/>
      </w:r>
      <w:r>
        <w:rPr>
          <w:rFonts w:ascii="Times New Roman" w:cs="David" w:eastAsia="David" w:hAnsi="Times New Roman"/>
          <w:sz w:val="20"/>
          <w:szCs w:val="20"/>
          <w:rtl/>
        </w:rPr>
        <w:t xml:space="preserve"> ס' 3 לפקודת המשטרה [נוסח חדש], התשל"א–1971.</w:t>
      </w:r>
    </w:p>
  </w:footnote>
  <w:footnote w:id="46">
    <w:p>
      <w:pPr>
        <w:bidi/>
        <w:spacing w:after="40" w:line="240"/>
        <w:jc w:val="both"/>
      </w:pPr>
      <w:r>
        <w:rPr>
          <w:rStyle w:val="FootnoteReference"/>
        </w:rPr>
        <w:footnoteRef/>
      </w:r>
      <w:r>
        <w:rPr>
          <w:rFonts w:ascii="Times New Roman" w:cs="David" w:eastAsia="David" w:hAnsi="Times New Roman"/>
          <w:sz w:val="20"/>
          <w:szCs w:val="20"/>
          <w:rtl/>
        </w:rPr>
        <w:t xml:space="preserve"> בג"ץ 5887/17 </w:t>
      </w:r>
      <w:r>
        <w:rPr>
          <w:rFonts w:ascii="Times New Roman" w:cs="David" w:eastAsia="David" w:hAnsi="Times New Roman"/>
          <w:b/>
          <w:bCs/>
          <w:sz w:val="20"/>
          <w:szCs w:val="20"/>
          <w:rtl/>
        </w:rPr>
        <w:t xml:space="preserve">ג'בארין נ' משטרת ישראל</w:t>
      </w:r>
      <w:r>
        <w:rPr>
          <w:rFonts w:ascii="Times New Roman" w:cs="David" w:eastAsia="David" w:hAnsi="Times New Roman"/>
          <w:sz w:val="20"/>
          <w:szCs w:val="20"/>
          <w:rtl/>
        </w:rPr>
        <w:t xml:space="preserve"> (נבו 25.7.2017).</w:t>
      </w:r>
    </w:p>
  </w:footnote>
  <w:footnote w:id="47">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7 לפסק דינו של השופט שטיין.</w:t>
      </w:r>
    </w:p>
  </w:footnote>
  <w:footnote w:id="48">
    <w:p>
      <w:pPr>
        <w:bidi/>
        <w:spacing w:after="40" w:line="240"/>
        <w:jc w:val="both"/>
      </w:pPr>
      <w:r>
        <w:rPr>
          <w:rStyle w:val="FootnoteReference"/>
        </w:rPr>
        <w:footnoteRef/>
      </w:r>
      <w:r>
        <w:rPr>
          <w:rFonts w:ascii="Times New Roman" w:cs="David" w:eastAsia="David" w:hAnsi="Times New Roman"/>
          <w:sz w:val="20"/>
          <w:szCs w:val="20"/>
          <w:rtl/>
        </w:rPr>
        <w:t xml:space="preserve"> ס' 74-67 לחוק סדר הדין הפלילי (סמכויות אכיפה – מעצרים), התשנ"ו–1996.</w:t>
      </w:r>
    </w:p>
  </w:footnote>
  <w:footnote w:id="49">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36 לפסק דינה של הנשיאה חיות.</w:t>
      </w:r>
    </w:p>
  </w:footnote>
  <w:footnote w:id="50">
    <w:p>
      <w:pPr>
        <w:bidi/>
        <w:spacing w:after="40" w:line="240"/>
        <w:jc w:val="both"/>
      </w:pPr>
      <w:r>
        <w:rPr>
          <w:rStyle w:val="FootnoteReference"/>
        </w:rPr>
        <w:footnoteRef/>
      </w:r>
      <w:r>
        <w:rPr>
          <w:rFonts w:ascii="Times New Roman" w:cs="David" w:eastAsia="David" w:hAnsi="Times New Roman"/>
          <w:sz w:val="20"/>
          <w:szCs w:val="20"/>
          <w:rtl/>
        </w:rPr>
        <w:t xml:space="preserve"> רע"פ 2161/21 </w:t>
      </w:r>
      <w:r>
        <w:rPr>
          <w:rFonts w:ascii="Times New Roman" w:cs="David" w:eastAsia="David" w:hAnsi="Times New Roman"/>
          <w:b/>
          <w:bCs/>
          <w:sz w:val="20"/>
          <w:szCs w:val="20"/>
          <w:rtl/>
        </w:rPr>
        <w:t xml:space="preserve">משאיך נ' מדינת ישראל</w:t>
      </w:r>
      <w:r>
        <w:rPr>
          <w:rFonts w:ascii="Times New Roman" w:cs="David" w:eastAsia="David" w:hAnsi="Times New Roman"/>
          <w:sz w:val="20"/>
          <w:szCs w:val="20"/>
          <w:rtl/>
        </w:rPr>
        <w:t xml:space="preserve">, פס' 16 להחלטתו של השופט קרא (נבו 18.7.2021).</w:t>
      </w:r>
    </w:p>
  </w:footnote>
  <w:footnote w:id="51">
    <w:p>
      <w:pPr>
        <w:bidi/>
        <w:spacing w:after="40" w:line="240"/>
        <w:jc w:val="both"/>
      </w:pPr>
      <w:r>
        <w:rPr>
          <w:rStyle w:val="FootnoteReference"/>
        </w:rPr>
        <w:footnoteRef/>
      </w:r>
      <w:r>
        <w:rPr>
          <w:rFonts w:ascii="Times New Roman" w:cs="David" w:eastAsia="David" w:hAnsi="Times New Roman"/>
          <w:sz w:val="20"/>
          <w:szCs w:val="20"/>
          <w:rtl/>
        </w:rPr>
        <w:t xml:space="preserve"> רע"פ 3829/15 </w:t>
      </w:r>
      <w:r>
        <w:rPr>
          <w:rFonts w:ascii="Times New Roman" w:cs="David" w:eastAsia="David" w:hAnsi="Times New Roman"/>
          <w:b/>
          <w:bCs/>
          <w:sz w:val="20"/>
          <w:szCs w:val="20"/>
          <w:rtl/>
        </w:rPr>
        <w:t xml:space="preserve">קסאי נ' מדינת ישראל</w:t>
      </w:r>
      <w:r>
        <w:rPr>
          <w:rFonts w:ascii="Times New Roman" w:cs="David" w:eastAsia="David" w:hAnsi="Times New Roman"/>
          <w:sz w:val="20"/>
          <w:szCs w:val="20"/>
          <w:rtl/>
        </w:rPr>
        <w:t xml:space="preserve"> (נבו 20.12.2018).</w:t>
      </w:r>
    </w:p>
  </w:footnote>
  <w:footnote w:id="52">
    <w:p>
      <w:pPr>
        <w:bidi/>
        <w:spacing w:after="40" w:line="240"/>
        <w:jc w:val="both"/>
      </w:pPr>
      <w:r>
        <w:rPr>
          <w:rStyle w:val="FootnoteReference"/>
        </w:rPr>
        <w:footnoteRef/>
      </w:r>
      <w:r>
        <w:rPr>
          <w:rFonts w:ascii="Times New Roman" w:cs="David" w:eastAsia="David" w:hAnsi="Times New Roman"/>
          <w:sz w:val="20"/>
          <w:szCs w:val="20"/>
          <w:rtl/>
        </w:rPr>
        <w:t xml:space="preserve"> רע"פ 3199/20 </w:t>
      </w:r>
      <w:r>
        <w:rPr>
          <w:rFonts w:ascii="Times New Roman" w:cs="David" w:eastAsia="David" w:hAnsi="Times New Roman"/>
          <w:b/>
          <w:bCs/>
          <w:sz w:val="20"/>
          <w:szCs w:val="20"/>
          <w:rtl/>
        </w:rPr>
        <w:t xml:space="preserve">זייצב נ' מדינת ישראל</w:t>
      </w:r>
      <w:r>
        <w:rPr>
          <w:rFonts w:ascii="Times New Roman" w:cs="David" w:eastAsia="David" w:hAnsi="Times New Roman"/>
          <w:sz w:val="20"/>
          <w:szCs w:val="20"/>
          <w:rtl/>
        </w:rPr>
        <w:t xml:space="preserve">, פס' 16 לפסק דינו של השופט אלרון (נבו 12.8.2021).</w:t>
      </w:r>
    </w:p>
  </w:footnote>
  <w:footnote w:id="53">
    <w:p>
      <w:pPr>
        <w:bidi/>
        <w:spacing w:after="40" w:line="240"/>
        <w:jc w:val="both"/>
      </w:pPr>
      <w:r>
        <w:rPr>
          <w:rStyle w:val="FootnoteReference"/>
        </w:rPr>
        <w:footnoteRef/>
      </w:r>
      <w:r>
        <w:rPr>
          <w:rFonts w:ascii="Times New Roman" w:cs="David" w:eastAsia="David" w:hAnsi="Times New Roman"/>
          <w:sz w:val="20"/>
          <w:szCs w:val="20"/>
          <w:rtl/>
        </w:rPr>
        <w:t xml:space="preserve"> בג"ץ 6396/96 </w:t>
      </w:r>
      <w:r>
        <w:rPr>
          <w:rFonts w:ascii="Times New Roman" w:cs="David" w:eastAsia="David" w:hAnsi="Times New Roman"/>
          <w:b/>
          <w:bCs/>
          <w:sz w:val="20"/>
          <w:szCs w:val="20"/>
          <w:rtl/>
        </w:rPr>
        <w:t xml:space="preserve">זקין נ' ראש עיריית באר-שבע</w:t>
      </w:r>
      <w:r>
        <w:rPr>
          <w:rFonts w:ascii="Times New Roman" w:cs="David" w:eastAsia="David" w:hAnsi="Times New Roman"/>
          <w:sz w:val="20"/>
          <w:szCs w:val="20"/>
          <w:rtl/>
        </w:rPr>
        <w:t xml:space="preserve">, פ"ד נג(3) 289 (1999).</w:t>
      </w:r>
    </w:p>
  </w:footnote>
  <w:footnote w:id="54">
    <w:p>
      <w:pPr>
        <w:bidi/>
        <w:spacing w:after="40" w:line="240"/>
        <w:jc w:val="both"/>
      </w:pPr>
      <w:r>
        <w:rPr>
          <w:rStyle w:val="FootnoteReference"/>
        </w:rPr>
        <w:footnoteRef/>
      </w:r>
      <w:r>
        <w:rPr>
          <w:rFonts w:ascii="Times New Roman" w:cs="David" w:eastAsia="David" w:hAnsi="Times New Roman"/>
          <w:sz w:val="20"/>
          <w:szCs w:val="20"/>
          <w:rtl w:val="false"/>
        </w:rPr>
        <w:t xml:space="preserve"> Tal Jonathan-Zamir &amp; Gali Perry, ‎</w:t>
      </w:r>
      <w:r>
        <w:rPr>
          <w:rFonts w:ascii="Times New Roman" w:cs="David" w:eastAsia="David" w:hAnsi="Times New Roman"/>
          <w:i/>
          <w:iCs/>
          <w:sz w:val="20"/>
          <w:szCs w:val="20"/>
          <w:rtl w:val="false"/>
        </w:rPr>
        <w:t xml:space="preserve">A Landmark in the Study of Proactive Policing: Commentary on Proactive Policing: Effects on Crime and Communities‎</w:t>
      </w:r>
      <w:r>
        <w:rPr>
          <w:rFonts w:ascii="Times New Roman" w:cs="David" w:eastAsia="David" w:hAnsi="Times New Roman"/>
          <w:sz w:val="20"/>
          <w:szCs w:val="20"/>
          <w:rtl w:val="false"/>
        </w:rPr>
        <w:t xml:space="preserve">, 24 JERUSALEM REV. LEGAL STUD. 1, 1 (2021).‎</w:t>
      </w:r>
    </w:p>
  </w:footnote>
  <w:footnote w:id="55">
    <w:p>
      <w:pPr>
        <w:bidi/>
        <w:spacing w:after="40" w:line="240"/>
        <w:jc w:val="both"/>
      </w:pPr>
      <w:r>
        <w:rPr>
          <w:rStyle w:val="FootnoteReference"/>
        </w:rPr>
        <w:footnoteRef/>
      </w:r>
      <w:r>
        <w:rPr>
          <w:rFonts w:ascii="Times New Roman" w:cs="David" w:eastAsia="David" w:hAnsi="Times New Roman"/>
          <w:sz w:val="20"/>
          <w:szCs w:val="20"/>
          <w:rtl/>
        </w:rPr>
        <w:t xml:space="preserve"> משטרת ישראל, אגף התכנון והארגון "רפורמת אמו"ן במשטרת ישראל: מרעיון מסדר לשינוי עומק"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11, 11 (2017).</w:t>
      </w:r>
    </w:p>
  </w:footnote>
  <w:footnote w:id="56">
    <w:p>
      <w:pPr>
        <w:bidi/>
        <w:spacing w:after="40" w:line="240"/>
        <w:jc w:val="both"/>
      </w:pPr>
      <w:r>
        <w:rPr>
          <w:rStyle w:val="FootnoteReference"/>
        </w:rPr>
        <w:footnoteRef/>
      </w:r>
      <w:r>
        <w:rPr>
          <w:rFonts w:ascii="Times New Roman" w:cs="David" w:eastAsia="David" w:hAnsi="Times New Roman"/>
          <w:sz w:val="20"/>
          <w:szCs w:val="20"/>
          <w:rtl/>
        </w:rPr>
        <w:t xml:space="preserve"> שם, בעמ' 12.</w:t>
      </w:r>
    </w:p>
  </w:footnote>
  <w:footnote w:id="57">
    <w:p>
      <w:pPr>
        <w:bidi/>
        <w:spacing w:after="40" w:line="240"/>
        <w:jc w:val="both"/>
      </w:pPr>
      <w:r>
        <w:rPr>
          <w:rStyle w:val="FootnoteReference"/>
        </w:rPr>
        <w:footnoteRef/>
      </w:r>
      <w:r>
        <w:rPr>
          <w:rFonts w:ascii="Times New Roman" w:cs="David" w:eastAsia="David" w:hAnsi="Times New Roman"/>
          <w:sz w:val="20"/>
          <w:szCs w:val="20"/>
          <w:rtl/>
        </w:rPr>
        <w:t xml:space="preserve"> דיויד וייסבורד, באדי חסייסי, יעל לטמנוביץ, תומר כרמל ושני תשובה "מחקר הערכת תכנית אמו"ן: דו"ח מספר 1, סל עבירות פע"ר"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75, 77 (2018).</w:t>
      </w:r>
    </w:p>
  </w:footnote>
  <w:footnote w:id="58">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154.</w:t>
      </w:r>
    </w:p>
  </w:footnote>
  <w:footnote w:id="59">
    <w:p>
      <w:pPr>
        <w:bidi/>
        <w:spacing w:after="40" w:line="240"/>
        <w:jc w:val="both"/>
      </w:pPr>
      <w:r>
        <w:rPr>
          <w:rStyle w:val="FootnoteReference"/>
        </w:rPr>
        <w:footnoteRef/>
      </w:r>
      <w:r>
        <w:rPr>
          <w:rFonts w:ascii="Times New Roman" w:cs="David" w:eastAsia="David" w:hAnsi="Times New Roman"/>
          <w:sz w:val="20"/>
          <w:szCs w:val="20"/>
          <w:rtl/>
        </w:rPr>
        <w:t xml:space="preserve"> יהודה קייסי "השיטור הקלאסי: הבסיס המחקרי לרפורמת אמו"ן במשטרת ישראל"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13, 13 (2017).</w:t>
      </w:r>
    </w:p>
  </w:footnote>
  <w:footnote w:id="60">
    <w:p>
      <w:pPr>
        <w:bidi/>
        <w:spacing w:after="40" w:line="240"/>
        <w:jc w:val="both"/>
      </w:pPr>
      <w:r>
        <w:rPr>
          <w:rStyle w:val="FootnoteReference"/>
        </w:rPr>
        <w:footnoteRef/>
      </w:r>
      <w:r>
        <w:rPr>
          <w:rFonts w:ascii="Times New Roman" w:cs="David" w:eastAsia="David" w:hAnsi="Times New Roman"/>
          <w:sz w:val="20"/>
          <w:szCs w:val="20"/>
          <w:rtl/>
        </w:rPr>
        <w:t xml:space="preserve"> משטרת ישראל "רפורמת אמו"ן", לעיל ה"ש 55, בעמ' 11.</w:t>
      </w:r>
    </w:p>
  </w:footnote>
  <w:footnote w:id="61">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156-155.</w:t>
      </w:r>
    </w:p>
  </w:footnote>
  <w:footnote w:id="62">
    <w:p>
      <w:pPr>
        <w:bidi/>
        <w:spacing w:after="40" w:line="240"/>
        <w:jc w:val="both"/>
      </w:pPr>
      <w:r>
        <w:rPr>
          <w:rStyle w:val="FootnoteReference"/>
        </w:rPr>
        <w:footnoteRef/>
      </w:r>
      <w:r>
        <w:rPr>
          <w:rFonts w:ascii="Times New Roman" w:cs="David" w:eastAsia="David" w:hAnsi="Times New Roman"/>
          <w:sz w:val="20"/>
          <w:szCs w:val="20"/>
          <w:rtl/>
        </w:rPr>
        <w:t xml:space="preserve"> שם, בעמ' 156.</w:t>
      </w:r>
    </w:p>
  </w:footnote>
  <w:footnote w:id="63">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6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Eck &amp; Spelman‎</w:t>
      </w:r>
      <w:r>
        <w:rPr>
          <w:rFonts w:ascii="Times New Roman" w:cs="David" w:eastAsia="David" w:hAnsi="Times New Roman"/>
          <w:sz w:val="20"/>
          <w:szCs w:val="20"/>
          <w:rtl/>
        </w:rPr>
        <w:t xml:space="preserve">, לעיל ה"ש 19, בעמ' </w:t>
      </w:r>
      <w:r>
        <w:rPr>
          <w:rFonts w:ascii="Times New Roman" w:cs="David" w:eastAsia="David" w:hAnsi="Times New Roman"/>
          <w:sz w:val="20"/>
          <w:szCs w:val="20"/>
          <w:rtl w:val="false"/>
        </w:rPr>
        <w:t xml:space="preserve">xix.‎</w:t>
      </w:r>
    </w:p>
  </w:footnote>
  <w:footnote w:id="65">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157.</w:t>
      </w:r>
    </w:p>
  </w:footnote>
  <w:footnote w:id="66">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67">
    <w:p>
      <w:pPr>
        <w:bidi/>
        <w:spacing w:after="40" w:line="240"/>
        <w:jc w:val="both"/>
      </w:pPr>
      <w:r>
        <w:rPr>
          <w:rStyle w:val="FootnoteReference"/>
        </w:rPr>
        <w:footnoteRef/>
      </w:r>
      <w:r>
        <w:rPr>
          <w:rFonts w:ascii="Times New Roman" w:cs="David" w:eastAsia="David" w:hAnsi="Times New Roman"/>
          <w:sz w:val="20"/>
          <w:szCs w:val="20"/>
          <w:rtl/>
        </w:rPr>
        <w:t xml:space="preserve"> מאיר אלרן, אפרים לביא, מני יצחקי ומוחמד ותד </w:t>
      </w:r>
      <w:r>
        <w:rPr>
          <w:rFonts w:ascii="Times New Roman" w:cs="David" w:eastAsia="David" w:hAnsi="Times New Roman"/>
          <w:b/>
          <w:bCs/>
          <w:sz w:val="20"/>
          <w:szCs w:val="20"/>
          <w:rtl/>
        </w:rPr>
        <w:t xml:space="preserve">המלצות למדיניות התמודדות לאומית עם האלימות והפשיעה בחברה הערבית בישראל</w:t>
      </w:r>
      <w:r>
        <w:rPr>
          <w:rFonts w:ascii="Times New Roman" w:cs="David" w:eastAsia="David" w:hAnsi="Times New Roman"/>
          <w:sz w:val="20"/>
          <w:szCs w:val="20"/>
          <w:rtl/>
        </w:rPr>
        <w:t xml:space="preserve"> 4-3 (המכון למחקרי ביטחון לאומי, 2021).</w:t>
      </w:r>
    </w:p>
  </w:footnote>
  <w:footnote w:id="68">
    <w:p>
      <w:pPr>
        <w:bidi/>
        <w:spacing w:after="40" w:line="240"/>
        <w:jc w:val="both"/>
      </w:pPr>
      <w:r>
        <w:rPr>
          <w:rStyle w:val="FootnoteReference"/>
        </w:rPr>
        <w:footnoteRef/>
      </w:r>
      <w:r>
        <w:rPr>
          <w:rFonts w:ascii="Times New Roman" w:cs="David" w:eastAsia="David" w:hAnsi="Times New Roman"/>
          <w:sz w:val="20"/>
          <w:szCs w:val="20"/>
          <w:rtl/>
        </w:rPr>
        <w:t xml:space="preserve"> מיכאל בירנהק </w:t>
      </w:r>
      <w:r>
        <w:rPr>
          <w:rFonts w:ascii="Times New Roman" w:cs="David" w:eastAsia="David" w:hAnsi="Times New Roman"/>
          <w:b/>
          <w:bCs/>
          <w:sz w:val="20"/>
          <w:szCs w:val="20"/>
          <w:rtl/>
        </w:rPr>
        <w:t xml:space="preserve">פרטיות חוקתית</w:t>
      </w:r>
      <w:r>
        <w:rPr>
          <w:rFonts w:ascii="Times New Roman" w:cs="David" w:eastAsia="David" w:hAnsi="Times New Roman"/>
          <w:sz w:val="20"/>
          <w:szCs w:val="20"/>
          <w:rtl w:val="false"/>
        </w:rPr>
        <w:t xml:space="preserve"> 400 (2023).</w:t>
      </w:r>
    </w:p>
  </w:footnote>
  <w:footnote w:id="69">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157.</w:t>
      </w:r>
    </w:p>
  </w:footnote>
  <w:footnote w:id="70">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71">
    <w:p>
      <w:pPr>
        <w:bidi/>
        <w:spacing w:after="40" w:line="240"/>
        <w:jc w:val="both"/>
      </w:pPr>
      <w:r>
        <w:rPr>
          <w:rStyle w:val="FootnoteReference"/>
        </w:rPr>
        <w:footnoteRef/>
      </w:r>
      <w:r>
        <w:rPr>
          <w:rFonts w:ascii="Times New Roman" w:cs="David" w:eastAsia="David" w:hAnsi="Times New Roman"/>
          <w:sz w:val="20"/>
          <w:szCs w:val="20"/>
          <w:rtl/>
        </w:rPr>
        <w:t xml:space="preserve"> שם, בעמ' 158.</w:t>
      </w:r>
    </w:p>
  </w:footnote>
  <w:footnote w:id="72">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73">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242.</w:t>
      </w:r>
    </w:p>
  </w:footnote>
  <w:footnote w:id="7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Goldstein‎</w:t>
      </w:r>
      <w:r>
        <w:rPr>
          <w:rFonts w:ascii="Times New Roman" w:cs="David" w:eastAsia="David" w:hAnsi="Times New Roman"/>
          <w:sz w:val="20"/>
          <w:szCs w:val="20"/>
          <w:rtl/>
        </w:rPr>
        <w:t xml:space="preserve">, לעיל ה"ש 9, בעמ' 236.</w:t>
      </w:r>
    </w:p>
  </w:footnote>
  <w:footnote w:id="7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301.</w:t>
      </w:r>
    </w:p>
  </w:footnote>
  <w:footnote w:id="76">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158-156.</w:t>
      </w:r>
    </w:p>
  </w:footnote>
  <w:footnote w:id="77">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41 לפסק דינה של הנשיאה חיות.</w:t>
      </w:r>
    </w:p>
  </w:footnote>
  <w:footnote w:id="78">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6-3.</w:t>
      </w:r>
    </w:p>
  </w:footnote>
  <w:footnote w:id="79">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5-3.</w:t>
      </w:r>
    </w:p>
  </w:footnote>
  <w:footnote w:id="80">
    <w:p>
      <w:pPr>
        <w:bidi/>
        <w:spacing w:after="40" w:line="240"/>
        <w:jc w:val="both"/>
      </w:pPr>
      <w:r>
        <w:rPr>
          <w:rStyle w:val="FootnoteReference"/>
        </w:rPr>
        <w:footnoteRef/>
      </w:r>
      <w:r>
        <w:rPr>
          <w:rFonts w:ascii="Times New Roman" w:cs="David" w:eastAsia="David" w:hAnsi="Times New Roman"/>
          <w:sz w:val="20"/>
          <w:szCs w:val="20"/>
          <w:rtl/>
        </w:rPr>
        <w:t xml:space="preserve"> שם, בעמ' 9.</w:t>
      </w:r>
    </w:p>
  </w:footnote>
  <w:footnote w:id="81">
    <w:p>
      <w:pPr>
        <w:bidi/>
        <w:spacing w:after="40" w:line="240"/>
        <w:jc w:val="both"/>
      </w:pPr>
      <w:r>
        <w:rPr>
          <w:rStyle w:val="FootnoteReference"/>
        </w:rPr>
        <w:footnoteRef/>
      </w:r>
      <w:r>
        <w:rPr>
          <w:rFonts w:ascii="Times New Roman" w:cs="David" w:eastAsia="David" w:hAnsi="Times New Roman"/>
          <w:sz w:val="20"/>
          <w:szCs w:val="20"/>
          <w:rtl/>
        </w:rPr>
        <w:t xml:space="preserve"> אלרן ואחרים, לעיל ה"ש 67, בעמ' 4-3.</w:t>
      </w:r>
    </w:p>
  </w:footnote>
  <w:footnote w:id="82">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5-4.</w:t>
      </w:r>
    </w:p>
  </w:footnote>
  <w:footnote w:id="83">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226.</w:t>
      </w:r>
    </w:p>
  </w:footnote>
  <w:footnote w:id="84">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4.</w:t>
      </w:r>
    </w:p>
  </w:footnote>
  <w:footnote w:id="8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Braga, Weisburd &amp; Turchan‎</w:t>
      </w:r>
      <w:r>
        <w:rPr>
          <w:rFonts w:ascii="Times New Roman" w:cs="David" w:eastAsia="David" w:hAnsi="Times New Roman"/>
          <w:sz w:val="20"/>
          <w:szCs w:val="20"/>
          <w:rtl/>
        </w:rPr>
        <w:t xml:space="preserve">, לעיל ה"ש 24, בס' 1.4.1-1.4.2.</w:t>
      </w:r>
    </w:p>
  </w:footnote>
  <w:footnote w:id="86">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87">
    <w:p>
      <w:pPr>
        <w:bidi/>
        <w:spacing w:after="40" w:line="240"/>
        <w:jc w:val="both"/>
      </w:pPr>
      <w:r>
        <w:rPr>
          <w:rStyle w:val="FootnoteReference"/>
        </w:rPr>
        <w:footnoteRef/>
      </w:r>
      <w:r>
        <w:rPr>
          <w:rFonts w:ascii="Times New Roman" w:cs="David" w:eastAsia="David" w:hAnsi="Times New Roman"/>
          <w:sz w:val="20"/>
          <w:szCs w:val="20"/>
          <w:rtl/>
        </w:rPr>
        <w:t xml:space="preserve"> אלרן ואחרים, לעיל ה"ש 67, בעמ' 4-3.</w:t>
      </w:r>
    </w:p>
  </w:footnote>
  <w:footnote w:id="88">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5.</w:t>
      </w:r>
    </w:p>
  </w:footnote>
  <w:footnote w:id="89">
    <w:p>
      <w:pPr>
        <w:bidi/>
        <w:spacing w:after="40" w:line="240"/>
        <w:jc w:val="both"/>
      </w:pPr>
      <w:r>
        <w:rPr>
          <w:rStyle w:val="FootnoteReference"/>
        </w:rPr>
        <w:footnoteRef/>
      </w:r>
      <w:r>
        <w:rPr>
          <w:rFonts w:ascii="Times New Roman" w:cs="David" w:eastAsia="David" w:hAnsi="Times New Roman"/>
          <w:sz w:val="20"/>
          <w:szCs w:val="20"/>
          <w:rtl/>
        </w:rPr>
        <w:t xml:space="preserve"> שם, בעמ' 7.</w:t>
      </w:r>
    </w:p>
  </w:footnote>
  <w:footnote w:id="90">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2.</w:t>
      </w:r>
    </w:p>
  </w:footnote>
  <w:footnote w:id="91">
    <w:p>
      <w:pPr>
        <w:bidi/>
        <w:spacing w:after="40" w:line="240"/>
        <w:jc w:val="both"/>
      </w:pPr>
      <w:r>
        <w:rPr>
          <w:rStyle w:val="FootnoteReference"/>
        </w:rPr>
        <w:footnoteRef/>
      </w:r>
      <w:r>
        <w:rPr>
          <w:rFonts w:ascii="Times New Roman" w:cs="David" w:eastAsia="David" w:hAnsi="Times New Roman"/>
          <w:sz w:val="20"/>
          <w:szCs w:val="20"/>
          <w:rtl/>
        </w:rPr>
        <w:t xml:space="preserve"> שם, בעמ' 6.</w:t>
      </w:r>
    </w:p>
  </w:footnote>
  <w:footnote w:id="92">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4.</w:t>
      </w:r>
    </w:p>
  </w:footnote>
  <w:footnote w:id="93">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94">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ביקורת מעקב 2021</w:t>
      </w:r>
      <w:r>
        <w:rPr>
          <w:rFonts w:ascii="Times New Roman" w:cs="David" w:eastAsia="David" w:hAnsi="Times New Roman"/>
          <w:sz w:val="20"/>
          <w:szCs w:val="20"/>
          <w:rtl/>
        </w:rPr>
        <w:t xml:space="preserve">, לעיל ה"ש 2, בעמ' 4.</w:t>
      </w:r>
    </w:p>
  </w:footnote>
  <w:footnote w:id="9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Natapoff‎</w:t>
      </w:r>
      <w:r>
        <w:rPr>
          <w:rFonts w:ascii="Times New Roman" w:cs="David" w:eastAsia="David" w:hAnsi="Times New Roman"/>
          <w:sz w:val="20"/>
          <w:szCs w:val="20"/>
          <w:rtl/>
        </w:rPr>
        <w:t xml:space="preserve">, לעיל ה"ש 29, בעמ' 1718-1719.</w:t>
      </w:r>
    </w:p>
  </w:footnote>
  <w:footnote w:id="96">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97">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4.</w:t>
      </w:r>
    </w:p>
  </w:footnote>
  <w:footnote w:id="98">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7.</w:t>
      </w:r>
    </w:p>
  </w:footnote>
  <w:footnote w:id="99">
    <w:p>
      <w:pPr>
        <w:bidi/>
        <w:spacing w:after="40" w:line="240"/>
        <w:jc w:val="both"/>
      </w:pPr>
      <w:r>
        <w:rPr>
          <w:rStyle w:val="FootnoteReference"/>
        </w:rPr>
        <w:footnoteRef/>
      </w:r>
      <w:r>
        <w:rPr>
          <w:rFonts w:ascii="Times New Roman" w:cs="David" w:eastAsia="David" w:hAnsi="Times New Roman"/>
          <w:sz w:val="20"/>
          <w:szCs w:val="20"/>
          <w:rtl/>
        </w:rPr>
        <w:t xml:space="preserve"> שם, בעמ' 31.</w:t>
      </w:r>
    </w:p>
  </w:footnote>
  <w:footnote w:id="100">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6 (תרשים 1).</w:t>
      </w:r>
    </w:p>
  </w:footnote>
  <w:footnote w:id="101">
    <w:p>
      <w:pPr>
        <w:bidi/>
        <w:spacing w:after="40" w:line="240"/>
        <w:jc w:val="both"/>
      </w:pPr>
      <w:r>
        <w:rPr>
          <w:rStyle w:val="FootnoteReference"/>
        </w:rPr>
        <w:footnoteRef/>
      </w:r>
      <w:r>
        <w:rPr>
          <w:rFonts w:ascii="Times New Roman" w:cs="David" w:eastAsia="David" w:hAnsi="Times New Roman"/>
          <w:sz w:val="20"/>
          <w:szCs w:val="20"/>
          <w:rtl/>
        </w:rPr>
        <w:t xml:space="preserve"> בג"ץ 1504/20 </w:t>
      </w:r>
      <w:r>
        <w:rPr>
          <w:rFonts w:ascii="Times New Roman" w:cs="David" w:eastAsia="David" w:hAnsi="Times New Roman"/>
          <w:b/>
          <w:bCs/>
          <w:sz w:val="20"/>
          <w:szCs w:val="20"/>
          <w:rtl/>
        </w:rPr>
        <w:t xml:space="preserve">אבו אלקיעאן נ' פרקליט המדינה</w:t>
      </w:r>
      <w:r>
        <w:rPr>
          <w:rFonts w:ascii="Times New Roman" w:cs="David" w:eastAsia="David" w:hAnsi="Times New Roman"/>
          <w:sz w:val="20"/>
          <w:szCs w:val="20"/>
          <w:rtl/>
        </w:rPr>
        <w:t xml:space="preserve">, פס' 7 לפסק דינו של השופט עמית (נבו 20.10.2021).</w:t>
      </w:r>
    </w:p>
  </w:footnote>
  <w:footnote w:id="102">
    <w:p>
      <w:pPr>
        <w:bidi/>
        <w:spacing w:after="40" w:line="240"/>
        <w:jc w:val="both"/>
      </w:pPr>
      <w:r>
        <w:rPr>
          <w:rStyle w:val="FootnoteReference"/>
        </w:rPr>
        <w:footnoteRef/>
      </w:r>
      <w:r>
        <w:rPr>
          <w:rFonts w:ascii="Times New Roman" w:cs="David" w:eastAsia="David" w:hAnsi="Times New Roman"/>
          <w:sz w:val="20"/>
          <w:szCs w:val="20"/>
          <w:rtl w:val="false"/>
        </w:rPr>
        <w:t xml:space="preserve"> Badi Hasisi, ‎</w:t>
      </w:r>
      <w:r>
        <w:rPr>
          <w:rFonts w:ascii="Times New Roman" w:cs="David" w:eastAsia="David" w:hAnsi="Times New Roman"/>
          <w:i/>
          <w:iCs/>
          <w:sz w:val="20"/>
          <w:szCs w:val="20"/>
          <w:rtl w:val="false"/>
        </w:rPr>
        <w:t xml:space="preserve">Police, Politics, and Culture in a Deeply Divided Society‎</w:t>
      </w:r>
      <w:r>
        <w:rPr>
          <w:rFonts w:ascii="Times New Roman" w:cs="David" w:eastAsia="David" w:hAnsi="Times New Roman"/>
          <w:sz w:val="20"/>
          <w:szCs w:val="20"/>
          <w:rtl w:val="false"/>
        </w:rPr>
        <w:t xml:space="preserve">, 98 J. CRIM. L. &amp; CRIMINOLOGY 1119, 1119 (2008).‎</w:t>
      </w:r>
    </w:p>
  </w:footnote>
  <w:footnote w:id="103">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231-230.</w:t>
      </w:r>
    </w:p>
  </w:footnote>
  <w:footnote w:id="104">
    <w:p>
      <w:pPr>
        <w:bidi/>
        <w:spacing w:after="40" w:line="240"/>
        <w:jc w:val="both"/>
      </w:pPr>
      <w:r>
        <w:rPr>
          <w:rStyle w:val="FootnoteReference"/>
        </w:rPr>
        <w:footnoteRef/>
      </w:r>
      <w:r>
        <w:rPr>
          <w:rFonts w:ascii="Times New Roman" w:cs="David" w:eastAsia="David" w:hAnsi="Times New Roman"/>
          <w:sz w:val="20"/>
          <w:szCs w:val="20"/>
          <w:rtl w:val="false"/>
        </w:rPr>
        <w:t xml:space="preserve"> Badi Hasisi &amp; Ronald Weitzer, ‎</w:t>
      </w:r>
      <w:r>
        <w:rPr>
          <w:rFonts w:ascii="Times New Roman" w:cs="David" w:eastAsia="David" w:hAnsi="Times New Roman"/>
          <w:i/>
          <w:iCs/>
          <w:sz w:val="20"/>
          <w:szCs w:val="20"/>
          <w:rtl w:val="false"/>
        </w:rPr>
        <w:t xml:space="preserve">Police Relations with Arabs and Jews in Israel‎</w:t>
      </w:r>
      <w:r>
        <w:rPr>
          <w:rFonts w:ascii="Times New Roman" w:cs="David" w:eastAsia="David" w:hAnsi="Times New Roman"/>
          <w:sz w:val="20"/>
          <w:szCs w:val="20"/>
          <w:rtl w:val="false"/>
        </w:rPr>
        <w:t xml:space="preserve">, 47 BRIT. J. CRIMINOLOGY 728, 731-732, 739, 741-742 (2007).‎</w:t>
      </w:r>
    </w:p>
  </w:footnote>
  <w:footnote w:id="105">
    <w:p>
      <w:pPr>
        <w:bidi/>
        <w:spacing w:after="40" w:line="240"/>
        <w:jc w:val="both"/>
      </w:pPr>
      <w:r>
        <w:rPr>
          <w:rStyle w:val="FootnoteReference"/>
        </w:rPr>
        <w:footnoteRef/>
      </w:r>
      <w:r>
        <w:rPr>
          <w:rFonts w:ascii="Times New Roman" w:cs="David" w:eastAsia="David" w:hAnsi="Times New Roman"/>
          <w:sz w:val="20"/>
          <w:szCs w:val="20"/>
          <w:rtl/>
        </w:rPr>
        <w:t xml:space="preserve"> חסייסי וליטמנוביץ, לעיל ה"ש 30, בעמ' 124.</w:t>
      </w:r>
    </w:p>
  </w:footnote>
  <w:footnote w:id="10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Skogan‎</w:t>
      </w:r>
      <w:r>
        <w:rPr>
          <w:rFonts w:ascii="Times New Roman" w:cs="David" w:eastAsia="David" w:hAnsi="Times New Roman"/>
          <w:sz w:val="20"/>
          <w:szCs w:val="20"/>
          <w:rtl/>
        </w:rPr>
        <w:t xml:space="preserve">, לעיל ה"ש 36, בעמ' 112-113, 117-118.</w:t>
      </w:r>
    </w:p>
  </w:footnote>
  <w:footnote w:id="10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Desmond, Papachristos &amp; Kirk‎</w:t>
      </w:r>
      <w:r>
        <w:rPr>
          <w:rFonts w:ascii="Times New Roman" w:cs="David" w:eastAsia="David" w:hAnsi="Times New Roman"/>
          <w:sz w:val="20"/>
          <w:szCs w:val="20"/>
          <w:rtl/>
        </w:rPr>
        <w:t xml:space="preserve">, לעיל ה"ש 37, בעמ' 870-871.</w:t>
      </w:r>
    </w:p>
  </w:footnote>
  <w:footnote w:id="108">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156.</w:t>
      </w:r>
    </w:p>
  </w:footnote>
  <w:footnote w:id="109">
    <w:p>
      <w:pPr>
        <w:bidi/>
        <w:spacing w:after="40" w:line="240"/>
        <w:jc w:val="both"/>
      </w:pPr>
      <w:r>
        <w:rPr>
          <w:rStyle w:val="FootnoteReference"/>
        </w:rPr>
        <w:footnoteRef/>
      </w:r>
      <w:r>
        <w:rPr>
          <w:rFonts w:ascii="Times New Roman" w:cs="David" w:eastAsia="David" w:hAnsi="Times New Roman"/>
          <w:sz w:val="20"/>
          <w:szCs w:val="20"/>
          <w:rtl/>
        </w:rPr>
        <w:t xml:space="preserve"> שם, בעמ' 152.</w:t>
      </w:r>
    </w:p>
  </w:footnote>
  <w:footnote w:id="110">
    <w:p>
      <w:pPr>
        <w:bidi/>
        <w:spacing w:after="40" w:line="240"/>
        <w:jc w:val="both"/>
      </w:pPr>
      <w:r>
        <w:rPr>
          <w:rStyle w:val="FootnoteReference"/>
        </w:rPr>
        <w:footnoteRef/>
      </w:r>
      <w:r>
        <w:rPr>
          <w:rFonts w:ascii="Times New Roman" w:cs="David" w:eastAsia="David" w:hAnsi="Times New Roman"/>
          <w:sz w:val="20"/>
          <w:szCs w:val="20"/>
          <w:rtl/>
        </w:rPr>
        <w:t xml:space="preserve"> דיויד וייסבורד, באדי חסייסי, יעל לטמנוביץ, תומר כרמל ושני תשובה "מחקר הערכת תכנית אמו"ן: סל עבירות פע"ר"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167, 167 (2020).</w:t>
      </w:r>
    </w:p>
  </w:footnote>
  <w:footnote w:id="111">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w:t>
      </w:r>
    </w:p>
  </w:footnote>
  <w:footnote w:id="11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Hinkle et al.‎</w:t>
      </w:r>
      <w:r>
        <w:rPr>
          <w:rFonts w:ascii="Times New Roman" w:cs="David" w:eastAsia="David" w:hAnsi="Times New Roman"/>
          <w:sz w:val="20"/>
          <w:szCs w:val="20"/>
          <w:rtl/>
        </w:rPr>
        <w:t xml:space="preserve">, לעיל ה"ש 20, בס' 5.5.2.</w:t>
      </w:r>
    </w:p>
  </w:footnote>
  <w:footnote w:id="113">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w:t>
      </w:r>
    </w:p>
  </w:footnote>
  <w:footnote w:id="114">
    <w:p>
      <w:pPr>
        <w:bidi/>
        <w:spacing w:after="40" w:line="240"/>
        <w:jc w:val="both"/>
      </w:pPr>
      <w:r>
        <w:rPr>
          <w:rStyle w:val="FootnoteReference"/>
        </w:rPr>
        <w:footnoteRef/>
      </w:r>
      <w:r>
        <w:rPr>
          <w:rFonts w:ascii="Times New Roman" w:cs="David" w:eastAsia="David" w:hAnsi="Times New Roman"/>
          <w:sz w:val="20"/>
          <w:szCs w:val="20"/>
          <w:rtl/>
        </w:rPr>
        <w:t xml:space="preserve"> שם, בעמ' 161-159.</w:t>
      </w:r>
    </w:p>
  </w:footnote>
  <w:footnote w:id="115">
    <w:p>
      <w:pPr>
        <w:bidi/>
        <w:spacing w:after="40" w:line="240"/>
        <w:jc w:val="both"/>
      </w:pPr>
      <w:r>
        <w:rPr>
          <w:rStyle w:val="FootnoteReference"/>
        </w:rPr>
        <w:footnoteRef/>
      </w:r>
      <w:r>
        <w:rPr>
          <w:rFonts w:ascii="Times New Roman" w:cs="David" w:eastAsia="David" w:hAnsi="Times New Roman"/>
          <w:sz w:val="20"/>
          <w:szCs w:val="20"/>
          <w:rtl/>
        </w:rPr>
        <w:t xml:space="preserve"> שם, בעמ' 160-159.</w:t>
      </w:r>
    </w:p>
  </w:footnote>
  <w:footnote w:id="116">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239-238.</w:t>
      </w:r>
    </w:p>
  </w:footnote>
  <w:footnote w:id="117">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w:t>
      </w:r>
    </w:p>
  </w:footnote>
  <w:footnote w:id="118">
    <w:p>
      <w:pPr>
        <w:bidi/>
        <w:spacing w:after="40" w:line="240"/>
        <w:jc w:val="both"/>
      </w:pPr>
      <w:r>
        <w:rPr>
          <w:rStyle w:val="FootnoteReference"/>
        </w:rPr>
        <w:footnoteRef/>
      </w:r>
      <w:r>
        <w:rPr>
          <w:rFonts w:ascii="Times New Roman" w:cs="David" w:eastAsia="David" w:hAnsi="Times New Roman"/>
          <w:sz w:val="20"/>
          <w:szCs w:val="20"/>
          <w:rtl/>
        </w:rPr>
        <w:t xml:space="preserve"> באדי חסייסי, יעל ליטמנוביץ, דיויד וייסבורד, שני תשובה וטאינה טרכטנברג "מחקר הערכת תכנית אמו"ן: עבירות אלימות"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247, 276 (2020).</w:t>
      </w:r>
    </w:p>
  </w:footnote>
  <w:footnote w:id="119">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120">
    <w:p>
      <w:pPr>
        <w:bidi/>
        <w:spacing w:after="40" w:line="240"/>
        <w:jc w:val="both"/>
      </w:pPr>
      <w:r>
        <w:rPr>
          <w:rStyle w:val="FootnoteReference"/>
        </w:rPr>
        <w:footnoteRef/>
      </w:r>
      <w:r>
        <w:rPr>
          <w:rFonts w:ascii="Times New Roman" w:cs="David" w:eastAsia="David" w:hAnsi="Times New Roman"/>
          <w:sz w:val="20"/>
          <w:szCs w:val="20"/>
          <w:rtl/>
        </w:rPr>
        <w:t xml:space="preserve"> שם, בעמ' 248.</w:t>
      </w:r>
    </w:p>
  </w:footnote>
  <w:footnote w:id="121">
    <w:p>
      <w:pPr>
        <w:bidi/>
        <w:spacing w:after="40" w:line="240"/>
        <w:jc w:val="both"/>
      </w:pPr>
      <w:r>
        <w:rPr>
          <w:rStyle w:val="FootnoteReference"/>
        </w:rPr>
        <w:footnoteRef/>
      </w:r>
      <w:r>
        <w:rPr>
          <w:rFonts w:ascii="Times New Roman" w:cs="David" w:eastAsia="David" w:hAnsi="Times New Roman"/>
          <w:sz w:val="20"/>
          <w:szCs w:val="20"/>
          <w:rtl/>
        </w:rPr>
        <w:t xml:space="preserve"> שם, בעמ' 277.</w:t>
      </w:r>
    </w:p>
  </w:footnote>
  <w:footnote w:id="122">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233.</w:t>
      </w:r>
    </w:p>
  </w:footnote>
  <w:footnote w:id="123">
    <w:p>
      <w:pPr>
        <w:bidi/>
        <w:spacing w:after="40" w:line="240"/>
        <w:jc w:val="both"/>
      </w:pPr>
      <w:r>
        <w:rPr>
          <w:rStyle w:val="FootnoteReference"/>
        </w:rPr>
        <w:footnoteRef/>
      </w:r>
      <w:r>
        <w:rPr>
          <w:rFonts w:ascii="Times New Roman" w:cs="David" w:eastAsia="David" w:hAnsi="Times New Roman"/>
          <w:sz w:val="20"/>
          <w:szCs w:val="20"/>
          <w:rtl/>
        </w:rPr>
        <w:t xml:space="preserve"> שם, בעמ' 238.</w:t>
      </w:r>
    </w:p>
  </w:footnote>
  <w:footnote w:id="124">
    <w:p>
      <w:pPr>
        <w:bidi/>
        <w:spacing w:after="40" w:line="240"/>
        <w:jc w:val="both"/>
      </w:pPr>
      <w:r>
        <w:rPr>
          <w:rStyle w:val="FootnoteReference"/>
        </w:rPr>
        <w:footnoteRef/>
      </w:r>
      <w:r>
        <w:rPr>
          <w:rFonts w:ascii="Times New Roman" w:cs="David" w:eastAsia="David" w:hAnsi="Times New Roman"/>
          <w:sz w:val="20"/>
          <w:szCs w:val="20"/>
          <w:rtl/>
        </w:rPr>
        <w:t xml:space="preserve"> שם, בעמ' 236.</w:t>
      </w:r>
    </w:p>
  </w:footnote>
  <w:footnote w:id="125">
    <w:p>
      <w:pPr>
        <w:bidi/>
        <w:spacing w:after="40" w:line="240"/>
        <w:jc w:val="both"/>
      </w:pPr>
      <w:r>
        <w:rPr>
          <w:rStyle w:val="FootnoteReference"/>
        </w:rPr>
        <w:footnoteRef/>
      </w:r>
      <w:r>
        <w:rPr>
          <w:rFonts w:ascii="Times New Roman" w:cs="David" w:eastAsia="David" w:hAnsi="Times New Roman"/>
          <w:sz w:val="20"/>
          <w:szCs w:val="20"/>
          <w:rtl/>
        </w:rPr>
        <w:t xml:space="preserve"> שם, בעמ' 240.</w:t>
      </w:r>
    </w:p>
  </w:footnote>
  <w:footnote w:id="12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Scott‎</w:t>
      </w:r>
      <w:r>
        <w:rPr>
          <w:rFonts w:ascii="Times New Roman" w:cs="David" w:eastAsia="David" w:hAnsi="Times New Roman"/>
          <w:sz w:val="20"/>
          <w:szCs w:val="20"/>
          <w:rtl/>
        </w:rPr>
        <w:t xml:space="preserve">, לעיל ה"ש 25, בעמ' 8.</w:t>
      </w:r>
    </w:p>
  </w:footnote>
  <w:footnote w:id="127">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240.</w:t>
      </w:r>
    </w:p>
  </w:footnote>
  <w:footnote w:id="128">
    <w:p>
      <w:pPr>
        <w:bidi/>
        <w:spacing w:after="40" w:line="240"/>
        <w:jc w:val="both"/>
      </w:pPr>
      <w:r>
        <w:rPr>
          <w:rStyle w:val="FootnoteReference"/>
        </w:rPr>
        <w:footnoteRef/>
      </w:r>
      <w:r>
        <w:rPr>
          <w:rFonts w:ascii="Times New Roman" w:cs="David" w:eastAsia="David" w:hAnsi="Times New Roman"/>
          <w:sz w:val="20"/>
          <w:szCs w:val="20"/>
          <w:rtl/>
        </w:rPr>
        <w:t xml:space="preserve"> שם, בעמ' 239.</w:t>
      </w:r>
    </w:p>
  </w:footnote>
  <w:footnote w:id="129">
    <w:p>
      <w:pPr>
        <w:bidi/>
        <w:spacing w:after="40" w:line="240"/>
        <w:jc w:val="both"/>
      </w:pPr>
      <w:r>
        <w:rPr>
          <w:rStyle w:val="FootnoteReference"/>
        </w:rPr>
        <w:footnoteRef/>
      </w:r>
      <w:r>
        <w:rPr>
          <w:rFonts w:ascii="Times New Roman" w:cs="David" w:eastAsia="David" w:hAnsi="Times New Roman"/>
          <w:sz w:val="20"/>
          <w:szCs w:val="20"/>
          <w:rtl/>
        </w:rPr>
        <w:t xml:space="preserve"> שם, בעמ' 233.</w:t>
      </w:r>
    </w:p>
  </w:footnote>
  <w:footnote w:id="130">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152.</w:t>
      </w:r>
    </w:p>
  </w:footnote>
  <w:footnote w:id="131">
    <w:p>
      <w:pPr>
        <w:bidi/>
        <w:spacing w:after="40" w:line="240"/>
        <w:jc w:val="both"/>
      </w:pPr>
      <w:r>
        <w:rPr>
          <w:rStyle w:val="FootnoteReference"/>
        </w:rPr>
        <w:footnoteRef/>
      </w:r>
      <w:r>
        <w:rPr>
          <w:rFonts w:ascii="Times New Roman" w:cs="David" w:eastAsia="David" w:hAnsi="Times New Roman"/>
          <w:sz w:val="20"/>
          <w:szCs w:val="20"/>
          <w:rtl/>
        </w:rPr>
        <w:t xml:space="preserve"> שם, בעמ' 163.</w:t>
      </w:r>
    </w:p>
  </w:footnote>
  <w:footnote w:id="132">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242.</w:t>
      </w:r>
    </w:p>
  </w:footnote>
  <w:footnote w:id="133">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134">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135">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238.</w:t>
      </w:r>
    </w:p>
  </w:footnote>
  <w:footnote w:id="136">
    <w:p>
      <w:pPr>
        <w:bidi/>
        <w:spacing w:after="40" w:line="240"/>
        <w:jc w:val="both"/>
      </w:pPr>
      <w:r>
        <w:rPr>
          <w:rStyle w:val="FootnoteReference"/>
        </w:rPr>
        <w:footnoteRef/>
      </w:r>
      <w:r>
        <w:rPr>
          <w:rFonts w:ascii="Times New Roman" w:cs="David" w:eastAsia="David" w:hAnsi="Times New Roman"/>
          <w:sz w:val="20"/>
          <w:szCs w:val="20"/>
          <w:rtl/>
        </w:rPr>
        <w:t xml:space="preserve"> שם, בעמ' 239.</w:t>
      </w:r>
    </w:p>
  </w:footnote>
  <w:footnote w:id="137">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w:t>
      </w:r>
    </w:p>
  </w:footnote>
  <w:footnote w:id="138">
    <w:p>
      <w:pPr>
        <w:bidi/>
        <w:spacing w:after="40" w:line="240"/>
        <w:jc w:val="both"/>
      </w:pPr>
      <w:r>
        <w:rPr>
          <w:rStyle w:val="FootnoteReference"/>
        </w:rPr>
        <w:footnoteRef/>
      </w:r>
      <w:r>
        <w:rPr>
          <w:rFonts w:ascii="Times New Roman" w:cs="David" w:eastAsia="David" w:hAnsi="Times New Roman"/>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Times New Roman" w:cs="David" w:eastAsia="David" w:hAnsi="Times New Roman"/>
          <w:b/>
          <w:bCs/>
          <w:sz w:val="20"/>
          <w:szCs w:val="20"/>
          <w:rtl/>
        </w:rPr>
        <w:t xml:space="preserve">העיקר במחקר</w:t>
      </w:r>
      <w:r>
        <w:rPr>
          <w:rFonts w:ascii="Times New Roman" w:cs="David" w:eastAsia="David" w:hAnsi="Times New Roman"/>
          <w:sz w:val="20"/>
          <w:szCs w:val="20"/>
          <w:rtl/>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283, 302 (2020).</w:t>
      </w:r>
    </w:p>
  </w:footnote>
  <w:footnote w:id="139">
    <w:p>
      <w:pPr>
        <w:bidi/>
        <w:spacing w:after="40" w:line="240"/>
        <w:jc w:val="both"/>
      </w:pPr>
      <w:r>
        <w:rPr>
          <w:rStyle w:val="FootnoteReference"/>
        </w:rPr>
        <w:footnoteRef/>
      </w:r>
      <w:r>
        <w:rPr>
          <w:rFonts w:ascii="Times New Roman" w:cs="David" w:eastAsia="David" w:hAnsi="Times New Roman"/>
          <w:sz w:val="20"/>
          <w:szCs w:val="20"/>
          <w:rtl/>
        </w:rPr>
        <w:t xml:space="preserve"> שם, בעמ' 305, 302.</w:t>
      </w:r>
    </w:p>
  </w:footnote>
  <w:footnote w:id="14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Sunshine &amp; Tyler‎</w:t>
      </w:r>
      <w:r>
        <w:rPr>
          <w:rFonts w:ascii="Times New Roman" w:cs="David" w:eastAsia="David" w:hAnsi="Times New Roman"/>
          <w:sz w:val="20"/>
          <w:szCs w:val="20"/>
          <w:rtl/>
        </w:rPr>
        <w:t xml:space="preserve">, לעיל ה"ש 11, בעמ' 513.</w:t>
      </w:r>
    </w:p>
  </w:footnote>
  <w:footnote w:id="141">
    <w:p>
      <w:pPr>
        <w:bidi/>
        <w:spacing w:after="40" w:line="240"/>
        <w:jc w:val="both"/>
      </w:pPr>
      <w:r>
        <w:rPr>
          <w:rStyle w:val="FootnoteReference"/>
        </w:rPr>
        <w:footnoteRef/>
      </w:r>
      <w:r>
        <w:rPr>
          <w:rFonts w:ascii="Times New Roman" w:cs="David" w:eastAsia="David" w:hAnsi="Times New Roman"/>
          <w:sz w:val="20"/>
          <w:szCs w:val="20"/>
          <w:rtl/>
        </w:rPr>
        <w:t xml:space="preserve"> חסייסי ואחרים "עמדות הציבור", לעיל ה"ש 138, בעמ' 302.</w:t>
      </w:r>
    </w:p>
  </w:footnote>
  <w:footnote w:id="142">
    <w:p>
      <w:pPr>
        <w:bidi/>
        <w:spacing w:after="40" w:line="240"/>
        <w:jc w:val="both"/>
      </w:pPr>
      <w:r>
        <w:rPr>
          <w:rStyle w:val="FootnoteReference"/>
        </w:rPr>
        <w:footnoteRef/>
      </w:r>
      <w:r>
        <w:rPr>
          <w:rFonts w:ascii="Times New Roman" w:cs="David" w:eastAsia="David" w:hAnsi="Times New Roman"/>
          <w:sz w:val="20"/>
          <w:szCs w:val="20"/>
          <w:rtl/>
        </w:rPr>
        <w:t xml:space="preserve"> שם, בעמ' 304.</w:t>
      </w:r>
    </w:p>
  </w:footnote>
  <w:footnote w:id="143">
    <w:p>
      <w:pPr>
        <w:bidi/>
        <w:spacing w:after="40" w:line="240"/>
        <w:jc w:val="both"/>
      </w:pPr>
      <w:r>
        <w:rPr>
          <w:rStyle w:val="FootnoteReference"/>
        </w:rPr>
        <w:footnoteRef/>
      </w:r>
      <w:r>
        <w:rPr>
          <w:rFonts w:ascii="Times New Roman" w:cs="David" w:eastAsia="David" w:hAnsi="Times New Roman"/>
          <w:sz w:val="20"/>
          <w:szCs w:val="20"/>
          <w:rtl/>
        </w:rPr>
        <w:t xml:space="preserve"> שם, בעמ' 305.</w:t>
      </w:r>
    </w:p>
  </w:footnote>
  <w:footnote w:id="144">
    <w:p>
      <w:pPr>
        <w:bidi/>
        <w:spacing w:after="40" w:line="240"/>
        <w:jc w:val="both"/>
      </w:pPr>
      <w:r>
        <w:rPr>
          <w:rStyle w:val="FootnoteReference"/>
        </w:rPr>
        <w:footnoteRef/>
      </w:r>
      <w:r>
        <w:rPr>
          <w:rFonts w:ascii="Times New Roman" w:cs="David" w:eastAsia="David" w:hAnsi="Times New Roman"/>
          <w:sz w:val="20"/>
          <w:szCs w:val="20"/>
          <w:rtl/>
        </w:rPr>
        <w:t xml:space="preserve"> חסייסי ואחרים "עבירות אלימות", לעיל ה"ש 118, בעמ' 279; וייסבורד ואחרים "סל עבירות פע"ר", לעיל ה"ש 110, בעמ' 167.</w:t>
      </w:r>
    </w:p>
  </w:footnote>
  <w:footnote w:id="145">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243.</w:t>
      </w:r>
    </w:p>
  </w:footnote>
  <w:footnote w:id="146">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147">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158-156.</w:t>
      </w:r>
    </w:p>
  </w:footnote>
  <w:footnote w:id="148">
    <w:p>
      <w:pPr>
        <w:bidi/>
        <w:spacing w:after="40" w:line="240"/>
        <w:jc w:val="both"/>
      </w:pPr>
      <w:r>
        <w:rPr>
          <w:rStyle w:val="FootnoteReference"/>
        </w:rPr>
        <w:footnoteRef/>
      </w:r>
      <w:r>
        <w:rPr>
          <w:rFonts w:ascii="Times New Roman" w:cs="David" w:eastAsia="David" w:hAnsi="Times New Roman"/>
          <w:sz w:val="20"/>
          <w:szCs w:val="20"/>
          <w:rtl w:val="false"/>
        </w:rPr>
        <w:t xml:space="preserve"> Home Office, Police and Criminal Evidence Act 1984 Code A: Revised Code of Practice for the Exercise by Police Officers of Statutory Powers of Stop and Search, paras. 5.1-5.4 (2023).‎</w:t>
      </w:r>
    </w:p>
  </w:footnote>
  <w:footnote w:id="149">
    <w:p>
      <w:pPr>
        <w:bidi/>
        <w:spacing w:after="40" w:line="240"/>
        <w:jc w:val="both"/>
      </w:pPr>
      <w:r>
        <w:rPr>
          <w:rStyle w:val="FootnoteReference"/>
        </w:rPr>
        <w:footnoteRef/>
      </w:r>
      <w:r>
        <w:rPr>
          <w:rFonts w:ascii="Times New Roman" w:cs="David" w:eastAsia="David" w:hAnsi="Times New Roman"/>
          <w:sz w:val="20"/>
          <w:szCs w:val="20"/>
          <w:rtl w:val="false"/>
        </w:rPr>
        <w:t xml:space="preserve"> Statement of Interest of the United States at 5, ‎</w:t>
      </w:r>
      <w:r>
        <w:rPr>
          <w:rFonts w:ascii="Times New Roman" w:cs="David" w:eastAsia="David" w:hAnsi="Times New Roman"/>
          <w:i/>
          <w:iCs/>
          <w:sz w:val="20"/>
          <w:szCs w:val="20"/>
          <w:rtl w:val="false"/>
        </w:rPr>
        <w:t xml:space="preserve">Floyd v. City of New York‎</w:t>
      </w:r>
      <w:r>
        <w:rPr>
          <w:rFonts w:ascii="Times New Roman" w:cs="David" w:eastAsia="David" w:hAnsi="Times New Roman"/>
          <w:sz w:val="20"/>
          <w:szCs w:val="20"/>
          <w:rtl w:val="false"/>
        </w:rPr>
        <w:t xml:space="preserve">, No. 08-cv-01034 (S.D.N.Y. June 12, 2013).‎</w:t>
      </w:r>
    </w:p>
  </w:footnote>
  <w:footnote w:id="15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Goldstein‎</w:t>
      </w:r>
      <w:r>
        <w:rPr>
          <w:rFonts w:ascii="Times New Roman" w:cs="David" w:eastAsia="David" w:hAnsi="Times New Roman"/>
          <w:sz w:val="20"/>
          <w:szCs w:val="20"/>
          <w:rtl/>
        </w:rPr>
        <w:t xml:space="preserve">, לעיל ה"ש 9, בעמ' 236.</w:t>
      </w:r>
    </w:p>
  </w:footnote>
  <w:footnote w:id="151">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1.1.</w:t>
      </w:r>
    </w:p>
  </w:footnote>
  <w:footnote w:id="15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Eck &amp; Spelman‎</w:t>
      </w:r>
      <w:r>
        <w:rPr>
          <w:rFonts w:ascii="Times New Roman" w:cs="David" w:eastAsia="David" w:hAnsi="Times New Roman"/>
          <w:sz w:val="20"/>
          <w:szCs w:val="20"/>
          <w:rtl/>
        </w:rPr>
        <w:t xml:space="preserve">, לעיל ה"ש 19, בעמ' </w:t>
      </w:r>
      <w:r>
        <w:rPr>
          <w:rFonts w:ascii="Times New Roman" w:cs="David" w:eastAsia="David" w:hAnsi="Times New Roman"/>
          <w:sz w:val="20"/>
          <w:szCs w:val="20"/>
          <w:rtl w:val="false"/>
        </w:rPr>
        <w:t xml:space="preserve">xix.‎</w:t>
      </w:r>
    </w:p>
  </w:footnote>
  <w:footnote w:id="153">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Braga, Papachristos &amp; Hureau‎</w:t>
      </w:r>
      <w:r>
        <w:rPr>
          <w:rFonts w:ascii="Times New Roman" w:cs="David" w:eastAsia="David" w:hAnsi="Times New Roman"/>
          <w:sz w:val="20"/>
          <w:szCs w:val="20"/>
          <w:rtl/>
        </w:rPr>
        <w:t xml:space="preserve">, לעיל ה"ש 22, בעמ' </w:t>
      </w:r>
      <w:r>
        <w:rPr>
          <w:rFonts w:ascii="Times New Roman" w:cs="David" w:eastAsia="David" w:hAnsi="Times New Roman"/>
          <w:sz w:val="20"/>
          <w:szCs w:val="20"/>
          <w:rtl w:val="false"/>
        </w:rPr>
        <w:t xml:space="preserve">24-26; Braga, Weisburd &amp; Turchan‎</w:t>
      </w:r>
      <w:r>
        <w:rPr>
          <w:rFonts w:ascii="Times New Roman" w:cs="David" w:eastAsia="David" w:hAnsi="Times New Roman"/>
          <w:sz w:val="20"/>
          <w:szCs w:val="20"/>
          <w:rtl/>
        </w:rPr>
        <w:t xml:space="preserve">, לעיל ה"ש 24, בס' 3.5-3.6.</w:t>
      </w:r>
    </w:p>
  </w:footnote>
  <w:footnote w:id="154">
    <w:p>
      <w:pPr>
        <w:bidi/>
        <w:spacing w:after="40" w:line="240"/>
        <w:jc w:val="both"/>
      </w:pPr>
      <w:r>
        <w:rPr>
          <w:rStyle w:val="FootnoteReference"/>
        </w:rPr>
        <w:footnoteRef/>
      </w:r>
      <w:r>
        <w:rPr>
          <w:rFonts w:ascii="Times New Roman" w:cs="David" w:eastAsia="David" w:hAnsi="Times New Roman"/>
          <w:sz w:val="20"/>
          <w:szCs w:val="20"/>
          <w:rtl w:val="false"/>
        </w:rPr>
        <w:t xml:space="preserve"> U.S. CONST. amend. IV.‎</w:t>
      </w:r>
    </w:p>
  </w:footnote>
  <w:footnote w:id="15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Terry v. Ohio‎</w:t>
      </w:r>
      <w:r>
        <w:rPr>
          <w:rFonts w:ascii="Times New Roman" w:cs="David" w:eastAsia="David" w:hAnsi="Times New Roman"/>
          <w:sz w:val="20"/>
          <w:szCs w:val="20"/>
          <w:rtl w:val="false"/>
        </w:rPr>
        <w:t xml:space="preserve">, 392 U.S. 1, 21 (1968).‎</w:t>
      </w:r>
    </w:p>
  </w:footnote>
  <w:footnote w:id="156">
    <w:p>
      <w:pPr>
        <w:bidi/>
        <w:spacing w:after="40" w:line="240"/>
        <w:jc w:val="both"/>
      </w:pPr>
      <w:r>
        <w:rPr>
          <w:rStyle w:val="FootnoteReference"/>
        </w:rPr>
        <w:footnoteRef/>
      </w:r>
      <w:r>
        <w:rPr>
          <w:rFonts w:ascii="Times New Roman" w:cs="David" w:eastAsia="David" w:hAnsi="Times New Roman"/>
          <w:sz w:val="20"/>
          <w:szCs w:val="20"/>
          <w:rtl/>
        </w:rPr>
        <w:t xml:space="preserve"> שם, בעמ' 27.</w:t>
      </w:r>
    </w:p>
  </w:footnote>
  <w:footnote w:id="15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Whren v. United States‎</w:t>
      </w:r>
      <w:r>
        <w:rPr>
          <w:rFonts w:ascii="Times New Roman" w:cs="David" w:eastAsia="David" w:hAnsi="Times New Roman"/>
          <w:sz w:val="20"/>
          <w:szCs w:val="20"/>
          <w:rtl w:val="false"/>
        </w:rPr>
        <w:t xml:space="preserve">, 517 U.S. 806, 813 (1996).‎</w:t>
      </w:r>
    </w:p>
  </w:footnote>
  <w:footnote w:id="15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Illinois v. Wardlow‎</w:t>
      </w:r>
      <w:r>
        <w:rPr>
          <w:rFonts w:ascii="Times New Roman" w:cs="David" w:eastAsia="David" w:hAnsi="Times New Roman"/>
          <w:sz w:val="20"/>
          <w:szCs w:val="20"/>
          <w:rtl w:val="false"/>
        </w:rPr>
        <w:t xml:space="preserve">, 528 U.S. 119, 124 (2000).‎</w:t>
      </w:r>
    </w:p>
  </w:footnote>
  <w:footnote w:id="15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United States v. Armstrong‎</w:t>
      </w:r>
      <w:r>
        <w:rPr>
          <w:rFonts w:ascii="Times New Roman" w:cs="David" w:eastAsia="David" w:hAnsi="Times New Roman"/>
          <w:sz w:val="20"/>
          <w:szCs w:val="20"/>
          <w:rtl w:val="false"/>
        </w:rPr>
        <w:t xml:space="preserve">, 517 U.S. 456, 465 (1996).‎</w:t>
      </w:r>
    </w:p>
  </w:footnote>
  <w:footnote w:id="160">
    <w:p>
      <w:pPr>
        <w:bidi/>
        <w:spacing w:after="40" w:line="240"/>
        <w:jc w:val="both"/>
      </w:pPr>
      <w:r>
        <w:rPr>
          <w:rStyle w:val="FootnoteReference"/>
        </w:rPr>
        <w:footnoteRef/>
      </w:r>
      <w:r>
        <w:rPr>
          <w:rFonts w:ascii="Times New Roman" w:cs="David" w:eastAsia="David" w:hAnsi="Times New Roman"/>
          <w:sz w:val="20"/>
          <w:szCs w:val="20"/>
          <w:rtl w:val="false"/>
        </w:rPr>
        <w:t xml:space="preserve"> U.S. Department of Justice, Civil Rights Division, Investigation of the Ferguson Police Department 2 (2015).‎</w:t>
      </w:r>
    </w:p>
  </w:footnote>
  <w:footnote w:id="161">
    <w:p>
      <w:pPr>
        <w:bidi/>
        <w:spacing w:after="40" w:line="240"/>
        <w:jc w:val="both"/>
      </w:pPr>
      <w:r>
        <w:rPr>
          <w:rStyle w:val="FootnoteReference"/>
        </w:rPr>
        <w:footnoteRef/>
      </w:r>
      <w:r>
        <w:rPr>
          <w:rFonts w:ascii="Times New Roman" w:cs="David" w:eastAsia="David" w:hAnsi="Times New Roman"/>
          <w:sz w:val="20"/>
          <w:szCs w:val="20"/>
          <w:rtl/>
        </w:rPr>
        <w:t xml:space="preserve"> שם, בעמ' 4.</w:t>
      </w:r>
    </w:p>
  </w:footnote>
  <w:footnote w:id="16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301.</w:t>
      </w:r>
    </w:p>
  </w:footnote>
  <w:footnote w:id="163">
    <w:p>
      <w:pPr>
        <w:bidi/>
        <w:spacing w:after="40" w:line="240"/>
        <w:jc w:val="both"/>
      </w:pPr>
      <w:r>
        <w:rPr>
          <w:rStyle w:val="FootnoteReference"/>
        </w:rPr>
        <w:footnoteRef/>
      </w:r>
      <w:r>
        <w:rPr>
          <w:rFonts w:ascii="Times New Roman" w:cs="David" w:eastAsia="David" w:hAnsi="Times New Roman"/>
          <w:sz w:val="20"/>
          <w:szCs w:val="20"/>
          <w:rtl w:val="false"/>
        </w:rPr>
        <w:t xml:space="preserve"> 42 U.S.C. § 1983.‎</w:t>
      </w:r>
    </w:p>
  </w:footnote>
  <w:footnote w:id="16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Monell v. Department of Social Services‎</w:t>
      </w:r>
      <w:r>
        <w:rPr>
          <w:rFonts w:ascii="Times New Roman" w:cs="David" w:eastAsia="David" w:hAnsi="Times New Roman"/>
          <w:sz w:val="20"/>
          <w:szCs w:val="20"/>
          <w:rtl w:val="false"/>
        </w:rPr>
        <w:t xml:space="preserve">, 436 U.S. 658, 694 (1978).‎</w:t>
      </w:r>
    </w:p>
  </w:footnote>
  <w:footnote w:id="165">
    <w:p>
      <w:pPr>
        <w:bidi/>
        <w:spacing w:after="40" w:line="240"/>
        <w:jc w:val="both"/>
      </w:pPr>
      <w:r>
        <w:rPr>
          <w:rStyle w:val="FootnoteReference"/>
        </w:rPr>
        <w:footnoteRef/>
      </w:r>
      <w:r>
        <w:rPr>
          <w:rFonts w:ascii="Times New Roman" w:cs="David" w:eastAsia="David" w:hAnsi="Times New Roman"/>
          <w:sz w:val="20"/>
          <w:szCs w:val="20"/>
          <w:rtl w:val="false"/>
        </w:rPr>
        <w:t xml:space="preserve"> 34 U.S.C. § 12601.‎</w:t>
      </w:r>
    </w:p>
  </w:footnote>
  <w:footnote w:id="16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Statement of Interest‎</w:t>
      </w:r>
      <w:r>
        <w:rPr>
          <w:rFonts w:ascii="Times New Roman" w:cs="David" w:eastAsia="David" w:hAnsi="Times New Roman"/>
          <w:sz w:val="20"/>
          <w:szCs w:val="20"/>
          <w:rtl/>
        </w:rPr>
        <w:t xml:space="preserve">, לעיל ה"ש 149, בעמ' 5.</w:t>
      </w:r>
    </w:p>
  </w:footnote>
  <w:footnote w:id="16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DeShaney v. Winnebago County Department of Social Services‎</w:t>
      </w:r>
      <w:r>
        <w:rPr>
          <w:rFonts w:ascii="Times New Roman" w:cs="David" w:eastAsia="David" w:hAnsi="Times New Roman"/>
          <w:sz w:val="20"/>
          <w:szCs w:val="20"/>
          <w:rtl w:val="false"/>
        </w:rPr>
        <w:t xml:space="preserve">, 489 U.S. 189, 196 (1989).‎</w:t>
      </w:r>
    </w:p>
  </w:footnote>
  <w:footnote w:id="16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Town of Castle Rock v. Gonzales‎</w:t>
      </w:r>
      <w:r>
        <w:rPr>
          <w:rFonts w:ascii="Times New Roman" w:cs="David" w:eastAsia="David" w:hAnsi="Times New Roman"/>
          <w:sz w:val="20"/>
          <w:szCs w:val="20"/>
          <w:rtl w:val="false"/>
        </w:rPr>
        <w:t xml:space="preserve">, 545 U.S. 748, 768 (2005).‎</w:t>
      </w:r>
    </w:p>
  </w:footnote>
  <w:footnote w:id="169">
    <w:p>
      <w:pPr>
        <w:bidi/>
        <w:spacing w:after="40" w:line="240"/>
        <w:jc w:val="both"/>
      </w:pPr>
      <w:r>
        <w:rPr>
          <w:rStyle w:val="FootnoteReference"/>
        </w:rPr>
        <w:footnoteRef/>
      </w:r>
      <w:r>
        <w:rPr>
          <w:rFonts w:ascii="Times New Roman" w:cs="David" w:eastAsia="David" w:hAnsi="Times New Roman"/>
          <w:sz w:val="20"/>
          <w:szCs w:val="20"/>
          <w:rtl/>
        </w:rPr>
        <w:t xml:space="preserve"> בעז סגל "נזיקין של רשויות במבט השוואתי: הפיצוי הנזיקי – מטרה או אמצעי?" </w:t>
      </w:r>
      <w:r>
        <w:rPr>
          <w:rFonts w:ascii="Times New Roman" w:cs="David" w:eastAsia="David" w:hAnsi="Times New Roman"/>
          <w:b/>
          <w:bCs/>
          <w:sz w:val="20"/>
          <w:szCs w:val="20"/>
          <w:rtl/>
        </w:rPr>
        <w:t xml:space="preserve">הפרקליט</w:t>
      </w:r>
      <w:r>
        <w:rPr>
          <w:rFonts w:ascii="Times New Roman" w:cs="David" w:eastAsia="David" w:hAnsi="Times New Roman"/>
          <w:sz w:val="20"/>
          <w:szCs w:val="20"/>
          <w:rtl/>
        </w:rPr>
        <w:t xml:space="preserve"> נו 111, 155 (התשפ"ד).</w:t>
      </w:r>
    </w:p>
  </w:footnote>
  <w:footnote w:id="17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Natapoff‎</w:t>
      </w:r>
      <w:r>
        <w:rPr>
          <w:rFonts w:ascii="Times New Roman" w:cs="David" w:eastAsia="David" w:hAnsi="Times New Roman"/>
          <w:sz w:val="20"/>
          <w:szCs w:val="20"/>
          <w:rtl/>
        </w:rPr>
        <w:t xml:space="preserve">, לעיל ה"ש 29, בעמ' 1756-1759.</w:t>
      </w:r>
    </w:p>
  </w:footnote>
  <w:footnote w:id="171">
    <w:p>
      <w:pPr>
        <w:bidi/>
        <w:spacing w:after="40" w:line="240"/>
        <w:jc w:val="both"/>
      </w:pPr>
      <w:r>
        <w:rPr>
          <w:rStyle w:val="FootnoteReference"/>
        </w:rPr>
        <w:footnoteRef/>
      </w:r>
      <w:r>
        <w:rPr>
          <w:rFonts w:ascii="Times New Roman" w:cs="David" w:eastAsia="David" w:hAnsi="Times New Roman"/>
          <w:sz w:val="20"/>
          <w:szCs w:val="20"/>
          <w:rtl w:val="false"/>
        </w:rPr>
        <w:t xml:space="preserve"> 34 U.S.C. § 12601.‎</w:t>
      </w:r>
    </w:p>
  </w:footnote>
  <w:footnote w:id="17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Ferguson Report‎</w:t>
      </w:r>
      <w:r>
        <w:rPr>
          <w:rFonts w:ascii="Times New Roman" w:cs="David" w:eastAsia="David" w:hAnsi="Times New Roman"/>
          <w:sz w:val="20"/>
          <w:szCs w:val="20"/>
          <w:rtl/>
        </w:rPr>
        <w:t xml:space="preserve">, לעיל ה"ש 160, בעמ' 2.</w:t>
      </w:r>
    </w:p>
  </w:footnote>
  <w:footnote w:id="173">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Final Report‎</w:t>
      </w:r>
      <w:r>
        <w:rPr>
          <w:rFonts w:ascii="Times New Roman" w:cs="David" w:eastAsia="David" w:hAnsi="Times New Roman"/>
          <w:sz w:val="20"/>
          <w:szCs w:val="20"/>
          <w:rtl/>
        </w:rPr>
        <w:t xml:space="preserve">, לעיל ה"ש 16, בעמ' 1.</w:t>
      </w:r>
    </w:p>
  </w:footnote>
  <w:footnote w:id="17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Scott‎</w:t>
      </w:r>
      <w:r>
        <w:rPr>
          <w:rFonts w:ascii="Times New Roman" w:cs="David" w:eastAsia="David" w:hAnsi="Times New Roman"/>
          <w:sz w:val="20"/>
          <w:szCs w:val="20"/>
          <w:rtl/>
        </w:rPr>
        <w:t xml:space="preserve">, לעיל ה"ש 25, בעמ' 8.</w:t>
      </w:r>
    </w:p>
  </w:footnote>
  <w:footnote w:id="175">
    <w:p>
      <w:pPr>
        <w:bidi/>
        <w:spacing w:after="40" w:line="240"/>
        <w:jc w:val="both"/>
      </w:pPr>
      <w:r>
        <w:rPr>
          <w:rStyle w:val="FootnoteReference"/>
        </w:rPr>
        <w:footnoteRef/>
      </w:r>
      <w:r>
        <w:rPr>
          <w:rFonts w:ascii="Times New Roman" w:cs="David" w:eastAsia="David" w:hAnsi="Times New Roman"/>
          <w:sz w:val="20"/>
          <w:szCs w:val="20"/>
          <w:rtl w:val="false"/>
        </w:rPr>
        <w:t xml:space="preserve"> National Network for Safe Communities, Group Violence Intervention: An Implementation Guide 5 (2015).‎</w:t>
      </w:r>
    </w:p>
  </w:footnote>
  <w:footnote w:id="17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Police and Criminal Evidence Act 1984‎</w:t>
      </w:r>
      <w:r>
        <w:rPr>
          <w:rFonts w:ascii="Times New Roman" w:cs="David" w:eastAsia="David" w:hAnsi="Times New Roman"/>
          <w:sz w:val="20"/>
          <w:szCs w:val="20"/>
          <w:rtl w:val="false"/>
        </w:rPr>
        <w:t xml:space="preserve">, c. 60, s. 1 (UK).‎</w:t>
      </w:r>
    </w:p>
  </w:footnote>
  <w:footnote w:id="17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Criminal Justice and Public Order Act 1994‎</w:t>
      </w:r>
      <w:r>
        <w:rPr>
          <w:rFonts w:ascii="Times New Roman" w:cs="David" w:eastAsia="David" w:hAnsi="Times New Roman"/>
          <w:sz w:val="20"/>
          <w:szCs w:val="20"/>
          <w:rtl w:val="false"/>
        </w:rPr>
        <w:t xml:space="preserve">, c. 33, s. 60 (UK).‎</w:t>
      </w:r>
    </w:p>
  </w:footnote>
  <w:footnote w:id="17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w:t>
      </w:r>
      <w:r>
        <w:rPr>
          <w:rFonts w:ascii="Times New Roman" w:cs="David" w:eastAsia="David" w:hAnsi="Times New Roman"/>
          <w:sz w:val="20"/>
          <w:szCs w:val="20"/>
          <w:rtl w:val="false"/>
        </w:rPr>
        <w:t xml:space="preserve">2.2B.‎</w:t>
      </w:r>
    </w:p>
  </w:footnote>
  <w:footnote w:id="17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Equality Act 2010‎</w:t>
      </w:r>
      <w:r>
        <w:rPr>
          <w:rFonts w:ascii="Times New Roman" w:cs="David" w:eastAsia="David" w:hAnsi="Times New Roman"/>
          <w:sz w:val="20"/>
          <w:szCs w:val="20"/>
          <w:rtl w:val="false"/>
        </w:rPr>
        <w:t xml:space="preserve">, c. 15, s. 149 (UK).‎</w:t>
      </w:r>
    </w:p>
  </w:footnote>
  <w:footnote w:id="18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5.1.</w:t>
      </w:r>
    </w:p>
  </w:footnote>
  <w:footnote w:id="181">
    <w:p>
      <w:pPr>
        <w:bidi/>
        <w:spacing w:after="40" w:line="240"/>
        <w:jc w:val="both"/>
      </w:pPr>
      <w:r>
        <w:rPr>
          <w:rStyle w:val="FootnoteReference"/>
        </w:rPr>
        <w:footnoteRef/>
      </w:r>
      <w:r>
        <w:rPr>
          <w:rFonts w:ascii="Times New Roman" w:cs="David" w:eastAsia="David" w:hAnsi="Times New Roman"/>
          <w:sz w:val="20"/>
          <w:szCs w:val="20"/>
          <w:rtl/>
        </w:rPr>
        <w:t xml:space="preserve"> שם, בפס' 5.3.</w:t>
      </w:r>
    </w:p>
  </w:footnote>
  <w:footnote w:id="182">
    <w:p>
      <w:pPr>
        <w:bidi/>
        <w:spacing w:after="40" w:line="240"/>
        <w:jc w:val="both"/>
      </w:pPr>
      <w:r>
        <w:rPr>
          <w:rStyle w:val="FootnoteReference"/>
        </w:rPr>
        <w:footnoteRef/>
      </w:r>
      <w:r>
        <w:rPr>
          <w:rFonts w:ascii="Times New Roman" w:cs="David" w:eastAsia="David" w:hAnsi="Times New Roman"/>
          <w:sz w:val="20"/>
          <w:szCs w:val="20"/>
          <w:rtl/>
        </w:rPr>
        <w:t xml:space="preserve"> שם, בפס' 5.4.</w:t>
      </w:r>
    </w:p>
  </w:footnote>
  <w:footnote w:id="183">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Police and Criminal Evidence Act 1984‎</w:t>
      </w:r>
      <w:r>
        <w:rPr>
          <w:rFonts w:ascii="Times New Roman" w:cs="David" w:eastAsia="David" w:hAnsi="Times New Roman"/>
          <w:sz w:val="20"/>
          <w:szCs w:val="20"/>
          <w:rtl w:val="false"/>
        </w:rPr>
        <w:t xml:space="preserve">, c. 60, ss. 2-3 (UK).‎</w:t>
      </w:r>
    </w:p>
  </w:footnote>
  <w:footnote w:id="184">
    <w:p>
      <w:pPr>
        <w:bidi/>
        <w:spacing w:after="40" w:line="240"/>
        <w:jc w:val="both"/>
      </w:pPr>
      <w:r>
        <w:rPr>
          <w:rStyle w:val="FootnoteReference"/>
        </w:rPr>
        <w:footnoteRef/>
      </w:r>
      <w:r>
        <w:rPr>
          <w:rFonts w:ascii="Times New Roman" w:cs="David" w:eastAsia="David" w:hAnsi="Times New Roman"/>
          <w:sz w:val="20"/>
          <w:szCs w:val="20"/>
          <w:rtl w:val="false"/>
        </w:rPr>
        <w:t xml:space="preserve"> The Stephen Lawrence Inquiry: Report of an Inquiry by Sir William Macpherson of Cluny, Cm 4262-I, para. 6.34 (1999).‎</w:t>
      </w:r>
    </w:p>
  </w:footnote>
  <w:footnote w:id="185">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41 לפסק דינה של הנשיאה חיות.</w:t>
      </w:r>
    </w:p>
  </w:footnote>
  <w:footnote w:id="18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Macpherson Report‎</w:t>
      </w:r>
      <w:r>
        <w:rPr>
          <w:rFonts w:ascii="Times New Roman" w:cs="David" w:eastAsia="David" w:hAnsi="Times New Roman"/>
          <w:sz w:val="20"/>
          <w:szCs w:val="20"/>
          <w:rtl/>
        </w:rPr>
        <w:t xml:space="preserve">, לעיל ה"ש 184, בהמלצה 61.</w:t>
      </w:r>
    </w:p>
  </w:footnote>
  <w:footnote w:id="187">
    <w:p>
      <w:pPr>
        <w:bidi/>
        <w:spacing w:after="40" w:line="240"/>
        <w:jc w:val="both"/>
      </w:pPr>
      <w:r>
        <w:rPr>
          <w:rStyle w:val="FootnoteReference"/>
        </w:rPr>
        <w:footnoteRef/>
      </w:r>
      <w:r>
        <w:rPr>
          <w:rFonts w:ascii="Times New Roman" w:cs="David" w:eastAsia="David" w:hAnsi="Times New Roman"/>
          <w:sz w:val="20"/>
          <w:szCs w:val="20"/>
          <w:rtl/>
        </w:rPr>
        <w:t xml:space="preserve"> שם, בהמלצה 62.</w:t>
      </w:r>
    </w:p>
  </w:footnote>
  <w:footnote w:id="18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R (Roberts) v. Commissioner of Police of the Metropolis‎</w:t>
      </w:r>
      <w:r>
        <w:rPr>
          <w:rFonts w:ascii="Times New Roman" w:cs="David" w:eastAsia="David" w:hAnsi="Times New Roman"/>
          <w:sz w:val="20"/>
          <w:szCs w:val="20"/>
          <w:rtl w:val="false"/>
        </w:rPr>
        <w:t xml:space="preserve"> [2015] UKSC 79, [41].‎</w:t>
      </w:r>
    </w:p>
  </w:footnote>
  <w:footnote w:id="189">
    <w:p>
      <w:pPr>
        <w:bidi/>
        <w:spacing w:after="40" w:line="240"/>
        <w:jc w:val="both"/>
      </w:pPr>
      <w:r>
        <w:rPr>
          <w:rStyle w:val="FootnoteReference"/>
        </w:rPr>
        <w:footnoteRef/>
      </w:r>
      <w:r>
        <w:rPr>
          <w:rFonts w:ascii="Times New Roman" w:cs="David" w:eastAsia="David" w:hAnsi="Times New Roman"/>
          <w:sz w:val="20"/>
          <w:szCs w:val="20"/>
          <w:rtl/>
        </w:rPr>
        <w:t xml:space="preserve"> שם, בפס' 42.</w:t>
      </w:r>
    </w:p>
  </w:footnote>
  <w:footnote w:id="190">
    <w:p>
      <w:pPr>
        <w:bidi/>
        <w:spacing w:after="40" w:line="240"/>
        <w:jc w:val="both"/>
      </w:pPr>
      <w:r>
        <w:rPr>
          <w:rStyle w:val="FootnoteReference"/>
        </w:rPr>
        <w:footnoteRef/>
      </w:r>
      <w:r>
        <w:rPr>
          <w:rFonts w:ascii="Times New Roman" w:cs="David" w:eastAsia="David" w:hAnsi="Times New Roman"/>
          <w:sz w:val="20"/>
          <w:szCs w:val="20"/>
          <w:rtl/>
        </w:rPr>
        <w:t xml:space="preserve"> שם, בפס' 44.</w:t>
      </w:r>
    </w:p>
  </w:footnote>
  <w:footnote w:id="191">
    <w:p>
      <w:pPr>
        <w:bidi/>
        <w:spacing w:after="40" w:line="240"/>
        <w:jc w:val="both"/>
      </w:pPr>
      <w:r>
        <w:rPr>
          <w:rStyle w:val="FootnoteReference"/>
        </w:rPr>
        <w:footnoteRef/>
      </w:r>
      <w:r>
        <w:rPr>
          <w:rFonts w:ascii="Times New Roman" w:cs="David" w:eastAsia="David" w:hAnsi="Times New Roman"/>
          <w:sz w:val="20"/>
          <w:szCs w:val="20"/>
          <w:rtl/>
        </w:rPr>
        <w:t xml:space="preserve"> שם, בפס' 45.</w:t>
      </w:r>
    </w:p>
  </w:footnote>
  <w:footnote w:id="192">
    <w:p>
      <w:pPr>
        <w:bidi/>
        <w:spacing w:after="40" w:line="240"/>
        <w:jc w:val="both"/>
      </w:pPr>
      <w:r>
        <w:rPr>
          <w:rStyle w:val="FootnoteReference"/>
        </w:rPr>
        <w:footnoteRef/>
      </w:r>
      <w:r>
        <w:rPr>
          <w:rFonts w:ascii="Times New Roman" w:cs="David" w:eastAsia="David" w:hAnsi="Times New Roman"/>
          <w:sz w:val="20"/>
          <w:szCs w:val="20"/>
          <w:rtl/>
        </w:rPr>
        <w:t xml:space="preserve"> שם, בפס' 46.</w:t>
      </w:r>
    </w:p>
  </w:footnote>
  <w:footnote w:id="193">
    <w:p>
      <w:pPr>
        <w:bidi/>
        <w:spacing w:after="40" w:line="240"/>
        <w:jc w:val="both"/>
      </w:pPr>
      <w:r>
        <w:rPr>
          <w:rStyle w:val="FootnoteReference"/>
        </w:rPr>
        <w:footnoteRef/>
      </w:r>
      <w:r>
        <w:rPr>
          <w:rFonts w:ascii="Times New Roman" w:cs="David" w:eastAsia="David" w:hAnsi="Times New Roman"/>
          <w:sz w:val="20"/>
          <w:szCs w:val="20"/>
          <w:rtl w:val="false"/>
        </w:rPr>
        <w:t xml:space="preserve"> HM Inspectorate of Constabulary and Fire &amp; Rescue Services, Disproportionate Use of Police Powers: A Spotlight on Stop and Search and the Use of Force 5 (2021).‎</w:t>
      </w:r>
    </w:p>
  </w:footnote>
  <w:footnote w:id="194">
    <w:p>
      <w:pPr>
        <w:bidi/>
        <w:spacing w:after="40" w:line="240"/>
        <w:jc w:val="both"/>
      </w:pPr>
      <w:r>
        <w:rPr>
          <w:rStyle w:val="FootnoteReference"/>
        </w:rPr>
        <w:footnoteRef/>
      </w:r>
      <w:r>
        <w:rPr>
          <w:rFonts w:ascii="Times New Roman" w:cs="David" w:eastAsia="David" w:hAnsi="Times New Roman"/>
          <w:sz w:val="20"/>
          <w:szCs w:val="20"/>
          <w:rtl/>
        </w:rPr>
        <w:t xml:space="preserve"> שם, בעמ' 6.</w:t>
      </w:r>
    </w:p>
  </w:footnote>
  <w:footnote w:id="195">
    <w:p>
      <w:pPr>
        <w:bidi/>
        <w:spacing w:after="40" w:line="240"/>
        <w:jc w:val="both"/>
      </w:pPr>
      <w:r>
        <w:rPr>
          <w:rStyle w:val="FootnoteReference"/>
        </w:rPr>
        <w:footnoteRef/>
      </w:r>
      <w:r>
        <w:rPr>
          <w:rFonts w:ascii="Times New Roman" w:cs="David" w:eastAsia="David" w:hAnsi="Times New Roman"/>
          <w:sz w:val="20"/>
          <w:szCs w:val="20"/>
          <w:rtl w:val="false"/>
        </w:rPr>
        <w:t xml:space="preserve"> Paul Dawson, Anthony DuGuay, Ryan Flanagan &amp; Abigail McNeill, Investigating Disproportionality in Stop and Search in London 8 (2026).‎</w:t>
      </w:r>
    </w:p>
  </w:footnote>
  <w:footnote w:id="196">
    <w:p>
      <w:pPr>
        <w:bidi/>
        <w:spacing w:after="40" w:line="240"/>
        <w:jc w:val="both"/>
      </w:pPr>
      <w:r>
        <w:rPr>
          <w:rStyle w:val="FootnoteReference"/>
        </w:rPr>
        <w:footnoteRef/>
      </w:r>
      <w:r>
        <w:rPr>
          <w:rFonts w:ascii="Times New Roman" w:cs="David" w:eastAsia="David" w:hAnsi="Times New Roman"/>
          <w:sz w:val="20"/>
          <w:szCs w:val="20"/>
          <w:rtl w:val="false"/>
        </w:rPr>
        <w:t xml:space="preserve"> David Lammy, The Lammy Review: An Independent Review into the Treatment of, and Outcomes for, Black, Asian and Minority Ethnic Individuals in the Criminal Justice System 14 (2017).‎</w:t>
      </w:r>
    </w:p>
  </w:footnote>
  <w:footnote w:id="197">
    <w:p>
      <w:pPr>
        <w:bidi/>
        <w:spacing w:after="40" w:line="240"/>
        <w:jc w:val="both"/>
      </w:pPr>
      <w:r>
        <w:rPr>
          <w:rStyle w:val="FootnoteReference"/>
        </w:rPr>
        <w:footnoteRef/>
      </w:r>
      <w:r>
        <w:rPr>
          <w:rFonts w:ascii="Times New Roman" w:cs="David" w:eastAsia="David" w:hAnsi="Times New Roman"/>
          <w:sz w:val="20"/>
          <w:szCs w:val="20"/>
          <w:rtl/>
        </w:rPr>
        <w:t xml:space="preserve"> סגל, לעיל ה"ש 169, בעמ' 131.</w:t>
      </w:r>
    </w:p>
  </w:footnote>
  <w:footnote w:id="19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Michael v. Chief Constable of South Wales Police‎</w:t>
      </w:r>
      <w:r>
        <w:rPr>
          <w:rFonts w:ascii="Times New Roman" w:cs="David" w:eastAsia="David" w:hAnsi="Times New Roman"/>
          <w:sz w:val="20"/>
          <w:szCs w:val="20"/>
          <w:rtl w:val="false"/>
        </w:rPr>
        <w:t xml:space="preserve"> [2015] UKSC 2, [115].‎</w:t>
      </w:r>
    </w:p>
  </w:footnote>
  <w:footnote w:id="19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Commissioner of Police of the Metropolis v. DSD‎</w:t>
      </w:r>
      <w:r>
        <w:rPr>
          <w:rFonts w:ascii="Times New Roman" w:cs="David" w:eastAsia="David" w:hAnsi="Times New Roman"/>
          <w:sz w:val="20"/>
          <w:szCs w:val="20"/>
          <w:rtl w:val="false"/>
        </w:rPr>
        <w:t xml:space="preserve"> [2018] UKSC 11, [29].‎</w:t>
      </w:r>
    </w:p>
  </w:footnote>
  <w:footnote w:id="20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301.</w:t>
      </w:r>
    </w:p>
  </w:footnote>
  <w:footnote w:id="201">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156.</w:t>
      </w:r>
    </w:p>
  </w:footnote>
  <w:footnote w:id="20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w:t>
      </w:r>
      <w:r>
        <w:rPr>
          <w:rFonts w:ascii="Times New Roman" w:cs="David" w:eastAsia="David" w:hAnsi="Times New Roman"/>
          <w:sz w:val="20"/>
          <w:szCs w:val="20"/>
          <w:rtl w:val="false"/>
        </w:rPr>
        <w:t xml:space="preserve">2.2B.‎</w:t>
      </w:r>
    </w:p>
  </w:footnote>
  <w:footnote w:id="203">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41 לפסק דינה של הנשיאה חיות.</w:t>
      </w:r>
    </w:p>
  </w:footnote>
  <w:footnote w:id="20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Macpherson Report‎</w:t>
      </w:r>
      <w:r>
        <w:rPr>
          <w:rFonts w:ascii="Times New Roman" w:cs="David" w:eastAsia="David" w:hAnsi="Times New Roman"/>
          <w:sz w:val="20"/>
          <w:szCs w:val="20"/>
          <w:rtl/>
        </w:rPr>
        <w:t xml:space="preserve">, לעיל ה"ש 184, בהמלצה 61.</w:t>
      </w:r>
    </w:p>
  </w:footnote>
  <w:footnote w:id="20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5.3.</w:t>
      </w:r>
    </w:p>
  </w:footnote>
  <w:footnote w:id="206">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HMICFRS‎</w:t>
      </w:r>
      <w:r>
        <w:rPr>
          <w:rFonts w:ascii="Times New Roman" w:cs="David" w:eastAsia="David" w:hAnsi="Times New Roman"/>
          <w:sz w:val="20"/>
          <w:szCs w:val="20"/>
          <w:rtl/>
        </w:rPr>
        <w:t xml:space="preserve">, לעיל ה"ש 193, בעמ' 6.</w:t>
      </w:r>
    </w:p>
  </w:footnote>
  <w:footnote w:id="20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5.4.</w:t>
      </w:r>
    </w:p>
  </w:footnote>
  <w:footnote w:id="20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Lammy Review‎</w:t>
      </w:r>
      <w:r>
        <w:rPr>
          <w:rFonts w:ascii="Times New Roman" w:cs="David" w:eastAsia="David" w:hAnsi="Times New Roman"/>
          <w:sz w:val="20"/>
          <w:szCs w:val="20"/>
          <w:rtl/>
        </w:rPr>
        <w:t xml:space="preserve">, לעיל ה"ש 196, בעמ' 14.</w:t>
      </w:r>
    </w:p>
  </w:footnote>
  <w:footnote w:id="20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Statement of Interest‎</w:t>
      </w:r>
      <w:r>
        <w:rPr>
          <w:rFonts w:ascii="Times New Roman" w:cs="David" w:eastAsia="David" w:hAnsi="Times New Roman"/>
          <w:sz w:val="20"/>
          <w:szCs w:val="20"/>
          <w:rtl/>
        </w:rPr>
        <w:t xml:space="preserve">, לעיל ה"ש 149, בעמ' 5.</w:t>
      </w:r>
    </w:p>
  </w:footnote>
  <w:footnote w:id="210">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w:t>
      </w:r>
    </w:p>
  </w:footnote>
  <w:footnote w:id="211">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DeShaney‎</w:t>
      </w:r>
      <w:r>
        <w:rPr>
          <w:rFonts w:ascii="Times New Roman" w:cs="David" w:eastAsia="David" w:hAnsi="Times New Roman"/>
          <w:sz w:val="20"/>
          <w:szCs w:val="20"/>
          <w:rtl/>
        </w:rPr>
        <w:t xml:space="preserve">, לעיל ה"ש 167, בעמ' 196.</w:t>
      </w:r>
    </w:p>
  </w:footnote>
  <w:footnote w:id="21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Michael‎</w:t>
      </w:r>
      <w:r>
        <w:rPr>
          <w:rFonts w:ascii="Times New Roman" w:cs="David" w:eastAsia="David" w:hAnsi="Times New Roman"/>
          <w:sz w:val="20"/>
          <w:szCs w:val="20"/>
          <w:rtl/>
        </w:rPr>
        <w:t xml:space="preserve">, לעיל ה"ש 198, בפס' 115.</w:t>
      </w:r>
    </w:p>
  </w:footnote>
  <w:footnote w:id="213">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DSD‎</w:t>
      </w:r>
      <w:r>
        <w:rPr>
          <w:rFonts w:ascii="Times New Roman" w:cs="David" w:eastAsia="David" w:hAnsi="Times New Roman"/>
          <w:sz w:val="20"/>
          <w:szCs w:val="20"/>
          <w:rtl/>
        </w:rPr>
        <w:t xml:space="preserve">, לעיל ה"ש 199, בפס' 29.</w:t>
      </w:r>
    </w:p>
  </w:footnote>
  <w:footnote w:id="214">
    <w:p>
      <w:pPr>
        <w:bidi/>
        <w:spacing w:after="40" w:line="240"/>
        <w:jc w:val="both"/>
      </w:pPr>
      <w:r>
        <w:rPr>
          <w:rStyle w:val="FootnoteReference"/>
        </w:rPr>
        <w:footnoteRef/>
      </w:r>
      <w:r>
        <w:rPr>
          <w:rFonts w:ascii="Times New Roman" w:cs="David" w:eastAsia="David" w:hAnsi="Times New Roman"/>
          <w:sz w:val="20"/>
          <w:szCs w:val="20"/>
          <w:rtl/>
        </w:rPr>
        <w:t xml:space="preserve"> סגל, לעיל ה"ש 169, בעמ' 156.</w:t>
      </w:r>
    </w:p>
  </w:footnote>
  <w:footnote w:id="215">
    <w:p>
      <w:pPr>
        <w:bidi/>
        <w:spacing w:after="40" w:line="240"/>
        <w:jc w:val="both"/>
      </w:pPr>
      <w:r>
        <w:rPr>
          <w:rStyle w:val="FootnoteReference"/>
        </w:rPr>
        <w:footnoteRef/>
      </w:r>
      <w:r>
        <w:rPr>
          <w:rFonts w:ascii="Times New Roman" w:cs="David" w:eastAsia="David" w:hAnsi="Times New Roman"/>
          <w:sz w:val="20"/>
          <w:szCs w:val="20"/>
          <w:rtl/>
        </w:rPr>
        <w:t xml:space="preserve"> ע"א 3580/06 </w:t>
      </w:r>
      <w:r>
        <w:rPr>
          <w:rFonts w:ascii="Times New Roman" w:cs="David" w:eastAsia="David" w:hAnsi="Times New Roman"/>
          <w:b/>
          <w:bCs/>
          <w:sz w:val="20"/>
          <w:szCs w:val="20"/>
          <w:rtl/>
        </w:rPr>
        <w:t xml:space="preserve">עזבון יוסף נ' מדינת ישראל</w:t>
      </w:r>
      <w:r>
        <w:rPr>
          <w:rFonts w:ascii="Times New Roman" w:cs="David" w:eastAsia="David" w:hAnsi="Times New Roman"/>
          <w:sz w:val="20"/>
          <w:szCs w:val="20"/>
          <w:rtl/>
        </w:rPr>
        <w:t xml:space="preserve">, פס' 89 (נבו 21.3.2011).</w:t>
      </w:r>
    </w:p>
  </w:footnote>
  <w:footnote w:id="216">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ביקורת מעקב 2021</w:t>
      </w:r>
      <w:r>
        <w:rPr>
          <w:rFonts w:ascii="Times New Roman" w:cs="David" w:eastAsia="David" w:hAnsi="Times New Roman"/>
          <w:sz w:val="20"/>
          <w:szCs w:val="20"/>
          <w:rtl/>
        </w:rPr>
        <w:t xml:space="preserve">, לעיל ה"ש 2, בעמ' 4.</w:t>
      </w:r>
    </w:p>
  </w:footnote>
  <w:footnote w:id="21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Jonathan-Zamir &amp; Perry‎</w:t>
      </w:r>
      <w:r>
        <w:rPr>
          <w:rFonts w:ascii="Times New Roman" w:cs="David" w:eastAsia="David" w:hAnsi="Times New Roman"/>
          <w:sz w:val="20"/>
          <w:szCs w:val="20"/>
          <w:rtl/>
        </w:rPr>
        <w:t xml:space="preserve">, לעיל ה"ש 54, בעמ' 1.</w:t>
      </w:r>
    </w:p>
  </w:footnote>
  <w:footnote w:id="21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Macpherson Report‎</w:t>
      </w:r>
      <w:r>
        <w:rPr>
          <w:rFonts w:ascii="Times New Roman" w:cs="David" w:eastAsia="David" w:hAnsi="Times New Roman"/>
          <w:sz w:val="20"/>
          <w:szCs w:val="20"/>
          <w:rtl/>
        </w:rPr>
        <w:t xml:space="preserve">, לעיל ה"ש 184, בפס' 1.1-1.3.</w:t>
      </w:r>
    </w:p>
  </w:footnote>
  <w:footnote w:id="21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HMICFRS‎</w:t>
      </w:r>
      <w:r>
        <w:rPr>
          <w:rFonts w:ascii="Times New Roman" w:cs="David" w:eastAsia="David" w:hAnsi="Times New Roman"/>
          <w:sz w:val="20"/>
          <w:szCs w:val="20"/>
          <w:rtl/>
        </w:rPr>
        <w:t xml:space="preserve">, לעיל ה"ש 193, בעמ' 5.</w:t>
      </w:r>
    </w:p>
  </w:footnote>
  <w:footnote w:id="22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Hinkle et al.‎</w:t>
      </w:r>
      <w:r>
        <w:rPr>
          <w:rFonts w:ascii="Times New Roman" w:cs="David" w:eastAsia="David" w:hAnsi="Times New Roman"/>
          <w:sz w:val="20"/>
          <w:szCs w:val="20"/>
          <w:rtl/>
        </w:rPr>
        <w:t xml:space="preserve">, לעיל ה"ש 20, בס' 5.1, 5.5, 6.1.</w:t>
      </w:r>
    </w:p>
  </w:footnote>
  <w:footnote w:id="221">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Braga, Papachristos &amp; Hureau‎</w:t>
      </w:r>
      <w:r>
        <w:rPr>
          <w:rFonts w:ascii="Times New Roman" w:cs="David" w:eastAsia="David" w:hAnsi="Times New Roman"/>
          <w:sz w:val="20"/>
          <w:szCs w:val="20"/>
          <w:rtl/>
        </w:rPr>
        <w:t xml:space="preserve">, לעיל ה"ש 22, בעמ' </w:t>
      </w:r>
      <w:r>
        <w:rPr>
          <w:rFonts w:ascii="Times New Roman" w:cs="David" w:eastAsia="David" w:hAnsi="Times New Roman"/>
          <w:sz w:val="20"/>
          <w:szCs w:val="20"/>
          <w:rtl w:val="false"/>
        </w:rPr>
        <w:t xml:space="preserve">24-26; Braga, Weisburd &amp; Turchan‎</w:t>
      </w:r>
      <w:r>
        <w:rPr>
          <w:rFonts w:ascii="Times New Roman" w:cs="David" w:eastAsia="David" w:hAnsi="Times New Roman"/>
          <w:sz w:val="20"/>
          <w:szCs w:val="20"/>
          <w:rtl/>
        </w:rPr>
        <w:t xml:space="preserve">, לעיל ה"ש 24, בס' 2.6, 7.1.</w:t>
      </w:r>
    </w:p>
  </w:footnote>
  <w:footnote w:id="222">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w:t>
      </w:r>
    </w:p>
  </w:footnote>
  <w:footnote w:id="223">
    <w:p>
      <w:pPr>
        <w:bidi/>
        <w:spacing w:after="40" w:line="240"/>
        <w:jc w:val="both"/>
      </w:pPr>
      <w:r>
        <w:rPr>
          <w:rStyle w:val="FootnoteReference"/>
        </w:rPr>
        <w:footnoteRef/>
      </w:r>
      <w:r>
        <w:rPr>
          <w:rFonts w:ascii="Times New Roman" w:cs="David" w:eastAsia="David" w:hAnsi="Times New Roman"/>
          <w:sz w:val="20"/>
          <w:szCs w:val="20"/>
          <w:rtl/>
        </w:rPr>
        <w:t xml:space="preserve"> חסייסי ואחרים "עבירות אלימות", לעיל ה"ש 118, בעמ' 248.</w:t>
      </w:r>
    </w:p>
  </w:footnote>
  <w:footnote w:id="224">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240, 236.</w:t>
      </w:r>
    </w:p>
  </w:footnote>
  <w:footnote w:id="225">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118.</w:t>
      </w:r>
    </w:p>
  </w:footnote>
  <w:footnote w:id="226">
    <w:p>
      <w:pPr>
        <w:bidi/>
        <w:spacing w:after="40" w:line="240"/>
        <w:jc w:val="both"/>
      </w:pPr>
      <w:r>
        <w:rPr>
          <w:rStyle w:val="FootnoteReference"/>
        </w:rPr>
        <w:footnoteRef/>
      </w:r>
      <w:r>
        <w:rPr>
          <w:rFonts w:ascii="Times New Roman" w:cs="David" w:eastAsia="David" w:hAnsi="Times New Roman"/>
          <w:sz w:val="20"/>
          <w:szCs w:val="20"/>
          <w:rtl/>
        </w:rPr>
        <w:t xml:space="preserve"> שם, בעמ' 301.</w:t>
      </w:r>
    </w:p>
  </w:footnote>
  <w:footnote w:id="227">
    <w:p>
      <w:pPr>
        <w:bidi/>
        <w:spacing w:after="40" w:line="240"/>
        <w:jc w:val="both"/>
      </w:pPr>
      <w:r>
        <w:rPr>
          <w:rStyle w:val="FootnoteReference"/>
        </w:rPr>
        <w:footnoteRef/>
      </w:r>
      <w:r>
        <w:rPr>
          <w:rFonts w:ascii="Times New Roman" w:cs="David" w:eastAsia="David" w:hAnsi="Times New Roman"/>
          <w:sz w:val="20"/>
          <w:szCs w:val="20"/>
          <w:rtl/>
        </w:rPr>
        <w:t xml:space="preserve"> שם, בעמ' 209.</w:t>
      </w:r>
    </w:p>
  </w:footnote>
  <w:footnote w:id="228">
    <w:p>
      <w:pPr>
        <w:bidi/>
        <w:spacing w:after="40" w:line="240"/>
        <w:jc w:val="both"/>
      </w:pPr>
      <w:r>
        <w:rPr>
          <w:rStyle w:val="FootnoteReference"/>
        </w:rPr>
        <w:footnoteRef/>
      </w:r>
      <w:r>
        <w:rPr>
          <w:rFonts w:ascii="Times New Roman" w:cs="David" w:eastAsia="David" w:hAnsi="Times New Roman"/>
          <w:sz w:val="20"/>
          <w:szCs w:val="20"/>
          <w:rtl/>
        </w:rPr>
        <w:t xml:space="preserve"> שם, בעמ' 210.</w:t>
      </w:r>
    </w:p>
  </w:footnote>
  <w:footnote w:id="229">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163.</w:t>
      </w:r>
    </w:p>
  </w:footnote>
  <w:footnote w:id="23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Eck &amp; Spelman‎</w:t>
      </w:r>
      <w:r>
        <w:rPr>
          <w:rFonts w:ascii="Times New Roman" w:cs="David" w:eastAsia="David" w:hAnsi="Times New Roman"/>
          <w:sz w:val="20"/>
          <w:szCs w:val="20"/>
          <w:rtl/>
        </w:rPr>
        <w:t xml:space="preserve">, לעיל ה"ש 19, בעמ' </w:t>
      </w:r>
      <w:r>
        <w:rPr>
          <w:rFonts w:ascii="Times New Roman" w:cs="David" w:eastAsia="David" w:hAnsi="Times New Roman"/>
          <w:sz w:val="20"/>
          <w:szCs w:val="20"/>
          <w:rtl w:val="false"/>
        </w:rPr>
        <w:t xml:space="preserve">xix.‎</w:t>
      </w:r>
    </w:p>
  </w:footnote>
  <w:footnote w:id="231">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238.</w:t>
      </w:r>
    </w:p>
  </w:footnote>
  <w:footnote w:id="232">
    <w:p>
      <w:pPr>
        <w:bidi/>
        <w:spacing w:after="40" w:line="240"/>
        <w:jc w:val="both"/>
      </w:pPr>
      <w:r>
        <w:rPr>
          <w:rStyle w:val="FootnoteReference"/>
        </w:rPr>
        <w:footnoteRef/>
      </w:r>
      <w:r>
        <w:rPr>
          <w:rFonts w:ascii="Times New Roman" w:cs="David" w:eastAsia="David" w:hAnsi="Times New Roman"/>
          <w:sz w:val="20"/>
          <w:szCs w:val="20"/>
          <w:rtl/>
        </w:rPr>
        <w:t xml:space="preserve"> שם, בעמ' 240.</w:t>
      </w:r>
    </w:p>
  </w:footnote>
  <w:footnote w:id="233">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Group Violence Intervention‎</w:t>
      </w:r>
      <w:r>
        <w:rPr>
          <w:rFonts w:ascii="Times New Roman" w:cs="David" w:eastAsia="David" w:hAnsi="Times New Roman"/>
          <w:sz w:val="20"/>
          <w:szCs w:val="20"/>
          <w:rtl/>
        </w:rPr>
        <w:t xml:space="preserve">, לעיל ה"ש 175, בעמ' 5.</w:t>
      </w:r>
    </w:p>
  </w:footnote>
  <w:footnote w:id="234">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227.</w:t>
      </w:r>
    </w:p>
  </w:footnote>
  <w:footnote w:id="235">
    <w:p>
      <w:pPr>
        <w:bidi/>
        <w:spacing w:after="40" w:line="240"/>
        <w:jc w:val="both"/>
      </w:pPr>
      <w:r>
        <w:rPr>
          <w:rStyle w:val="FootnoteReference"/>
        </w:rPr>
        <w:footnoteRef/>
      </w:r>
      <w:r>
        <w:rPr>
          <w:rFonts w:ascii="Times New Roman" w:cs="David" w:eastAsia="David" w:hAnsi="Times New Roman"/>
          <w:sz w:val="20"/>
          <w:szCs w:val="20"/>
          <w:rtl/>
        </w:rPr>
        <w:t xml:space="preserve"> שם, בעמ' 242.</w:t>
      </w:r>
    </w:p>
  </w:footnote>
  <w:footnote w:id="236">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w:t>
      </w:r>
    </w:p>
  </w:footnote>
  <w:footnote w:id="237">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242.</w:t>
      </w:r>
    </w:p>
  </w:footnote>
  <w:footnote w:id="238">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239">
    <w:p>
      <w:pPr>
        <w:bidi/>
        <w:spacing w:after="40" w:line="240"/>
        <w:jc w:val="both"/>
      </w:pPr>
      <w:r>
        <w:rPr>
          <w:rStyle w:val="FootnoteReference"/>
        </w:rPr>
        <w:footnoteRef/>
      </w:r>
      <w:r>
        <w:rPr>
          <w:rFonts w:ascii="Times New Roman" w:cs="David" w:eastAsia="David" w:hAnsi="Times New Roman"/>
          <w:sz w:val="20"/>
          <w:szCs w:val="20"/>
          <w:rtl/>
        </w:rPr>
        <w:t xml:space="preserve"> שם, בעמ' 7-6.</w:t>
      </w:r>
    </w:p>
  </w:footnote>
  <w:footnote w:id="240">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156.</w:t>
      </w:r>
    </w:p>
  </w:footnote>
  <w:footnote w:id="241">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3.</w:t>
      </w:r>
    </w:p>
  </w:footnote>
  <w:footnote w:id="242">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ביקורת מעקב 2021</w:t>
      </w:r>
      <w:r>
        <w:rPr>
          <w:rFonts w:ascii="Times New Roman" w:cs="David" w:eastAsia="David" w:hAnsi="Times New Roman"/>
          <w:sz w:val="20"/>
          <w:szCs w:val="20"/>
          <w:rtl/>
        </w:rPr>
        <w:t xml:space="preserve">, לעיל ה"ש 2, בעמ' 4.</w:t>
      </w:r>
    </w:p>
  </w:footnote>
  <w:footnote w:id="243">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4.</w:t>
      </w:r>
    </w:p>
  </w:footnote>
  <w:footnote w:id="24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Goldstein‎</w:t>
      </w:r>
      <w:r>
        <w:rPr>
          <w:rFonts w:ascii="Times New Roman" w:cs="David" w:eastAsia="David" w:hAnsi="Times New Roman"/>
          <w:sz w:val="20"/>
          <w:szCs w:val="20"/>
          <w:rtl/>
        </w:rPr>
        <w:t xml:space="preserve">, לעיל ה"ש 9, בעמ' 236.</w:t>
      </w:r>
    </w:p>
  </w:footnote>
  <w:footnote w:id="245">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242.</w:t>
      </w:r>
    </w:p>
  </w:footnote>
  <w:footnote w:id="246">
    <w:p>
      <w:pPr>
        <w:bidi/>
        <w:spacing w:after="40" w:line="240"/>
        <w:jc w:val="both"/>
      </w:pPr>
      <w:r>
        <w:rPr>
          <w:rStyle w:val="FootnoteReference"/>
        </w:rPr>
        <w:footnoteRef/>
      </w:r>
      <w:r>
        <w:rPr>
          <w:rFonts w:ascii="Times New Roman" w:cs="David" w:eastAsia="David" w:hAnsi="Times New Roman"/>
          <w:sz w:val="20"/>
          <w:szCs w:val="20"/>
          <w:rtl/>
        </w:rPr>
        <w:t xml:space="preserve"> שם, בעמ' 243.</w:t>
      </w:r>
    </w:p>
  </w:footnote>
  <w:footnote w:id="247">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6.</w:t>
      </w:r>
    </w:p>
  </w:footnote>
  <w:footnote w:id="248">
    <w:p>
      <w:pPr>
        <w:bidi/>
        <w:spacing w:after="40" w:line="240"/>
        <w:jc w:val="both"/>
      </w:pPr>
      <w:r>
        <w:rPr>
          <w:rStyle w:val="FootnoteReference"/>
        </w:rPr>
        <w:footnoteRef/>
      </w:r>
      <w:r>
        <w:rPr>
          <w:rFonts w:ascii="Times New Roman" w:cs="David" w:eastAsia="David" w:hAnsi="Times New Roman"/>
          <w:sz w:val="20"/>
          <w:szCs w:val="20"/>
          <w:rtl/>
        </w:rPr>
        <w:t xml:space="preserve"> אסף הרדוף "ויתור, הידברות, בג"ץ: שחרור חסמים בסדר הדין הפלילי, צמצום הכוח המנהלי והגברת הביקורת השיפוטית" </w:t>
      </w:r>
      <w:r>
        <w:rPr>
          <w:rFonts w:ascii="Times New Roman" w:cs="David" w:eastAsia="David" w:hAnsi="Times New Roman"/>
          <w:b/>
          <w:bCs/>
          <w:sz w:val="20"/>
          <w:szCs w:val="20"/>
          <w:rtl/>
        </w:rPr>
        <w:t xml:space="preserve">ספר אליקים רובינשטיין</w:t>
      </w:r>
      <w:r>
        <w:rPr>
          <w:rFonts w:ascii="Times New Roman" w:cs="David" w:eastAsia="David" w:hAnsi="Times New Roman"/>
          <w:sz w:val="20"/>
          <w:szCs w:val="20"/>
          <w:rtl/>
        </w:rPr>
        <w:t xml:space="preserve"> 1817, 1849 (מרים ביטון עורכת, 2020).</w:t>
      </w:r>
    </w:p>
  </w:footnote>
  <w:footnote w:id="249">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157-156.</w:t>
      </w:r>
    </w:p>
  </w:footnote>
  <w:footnote w:id="250">
    <w:p>
      <w:pPr>
        <w:bidi/>
        <w:spacing w:after="40" w:line="240"/>
        <w:jc w:val="both"/>
      </w:pPr>
      <w:r>
        <w:rPr>
          <w:rStyle w:val="FootnoteReference"/>
        </w:rPr>
        <w:footnoteRef/>
      </w:r>
      <w:r>
        <w:rPr>
          <w:rFonts w:ascii="Times New Roman" w:cs="David" w:eastAsia="David" w:hAnsi="Times New Roman"/>
          <w:sz w:val="20"/>
          <w:szCs w:val="20"/>
          <w:rtl/>
        </w:rPr>
        <w:t xml:space="preserve"> חסייסי ואחרים "עמדות הציבור", לעיל ה"ש 138, בעמ' 302.</w:t>
      </w:r>
    </w:p>
  </w:footnote>
  <w:footnote w:id="251">
    <w:p>
      <w:pPr>
        <w:bidi/>
        <w:spacing w:after="40" w:line="240"/>
        <w:jc w:val="both"/>
      </w:pPr>
      <w:r>
        <w:rPr>
          <w:rStyle w:val="FootnoteReference"/>
        </w:rPr>
        <w:footnoteRef/>
      </w:r>
      <w:r>
        <w:rPr>
          <w:rFonts w:ascii="Times New Roman" w:cs="David" w:eastAsia="David" w:hAnsi="Times New Roman"/>
          <w:sz w:val="20"/>
          <w:szCs w:val="20"/>
          <w:rtl/>
        </w:rPr>
        <w:t xml:space="preserve"> שם, בעמ' 304.</w:t>
      </w:r>
    </w:p>
  </w:footnote>
  <w:footnote w:id="25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Bell‎</w:t>
      </w:r>
      <w:r>
        <w:rPr>
          <w:rFonts w:ascii="Times New Roman" w:cs="David" w:eastAsia="David" w:hAnsi="Times New Roman"/>
          <w:sz w:val="20"/>
          <w:szCs w:val="20"/>
          <w:rtl/>
        </w:rPr>
        <w:t xml:space="preserve">, לעיל ה"ש 32, בעמ' 2054.</w:t>
      </w:r>
    </w:p>
  </w:footnote>
  <w:footnote w:id="253">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36 לפסק דינה של הנשיאה חיות.</w:t>
      </w:r>
    </w:p>
  </w:footnote>
  <w:footnote w:id="254">
    <w:p>
      <w:pPr>
        <w:bidi/>
        <w:spacing w:after="40" w:line="240"/>
        <w:jc w:val="both"/>
      </w:pPr>
      <w:r>
        <w:rPr>
          <w:rStyle w:val="FootnoteReference"/>
        </w:rPr>
        <w:footnoteRef/>
      </w:r>
      <w:r>
        <w:rPr>
          <w:rFonts w:ascii="Times New Roman" w:cs="David" w:eastAsia="David" w:hAnsi="Times New Roman"/>
          <w:sz w:val="20"/>
          <w:szCs w:val="20"/>
          <w:rtl/>
        </w:rPr>
        <w:t xml:space="preserve"> שם, בפס' 41 לפסק דינה של הנשיאה חיות.</w:t>
      </w:r>
    </w:p>
  </w:footnote>
  <w:footnote w:id="255">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צעירים ערבים</w:t>
      </w:r>
      <w:r>
        <w:rPr>
          <w:rFonts w:ascii="Times New Roman" w:cs="David" w:eastAsia="David" w:hAnsi="Times New Roman"/>
          <w:sz w:val="20"/>
          <w:szCs w:val="20"/>
          <w:rtl/>
        </w:rPr>
        <w:t xml:space="preserve">, לעיל ה"ש 7, בעמ' 6.</w:t>
      </w:r>
    </w:p>
  </w:footnote>
  <w:footnote w:id="256">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41 לפסק דינה של הנשיאה חיות.</w:t>
      </w:r>
    </w:p>
  </w:footnote>
  <w:footnote w:id="25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w:t>
      </w:r>
      <w:r>
        <w:rPr>
          <w:rFonts w:ascii="Times New Roman" w:cs="David" w:eastAsia="David" w:hAnsi="Times New Roman"/>
          <w:sz w:val="20"/>
          <w:szCs w:val="20"/>
          <w:rtl w:val="false"/>
        </w:rPr>
        <w:t xml:space="preserve">2.2B.‎</w:t>
      </w:r>
    </w:p>
  </w:footnote>
  <w:footnote w:id="25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Macpherson Report‎</w:t>
      </w:r>
      <w:r>
        <w:rPr>
          <w:rFonts w:ascii="Times New Roman" w:cs="David" w:eastAsia="David" w:hAnsi="Times New Roman"/>
          <w:sz w:val="20"/>
          <w:szCs w:val="20"/>
          <w:rtl/>
        </w:rPr>
        <w:t xml:space="preserve">, לעיל ה"ש 184, בהמלצה 61.</w:t>
      </w:r>
    </w:p>
  </w:footnote>
  <w:footnote w:id="25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5.1.</w:t>
      </w:r>
    </w:p>
  </w:footnote>
  <w:footnote w:id="26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Roberts‎</w:t>
      </w:r>
      <w:r>
        <w:rPr>
          <w:rFonts w:ascii="Times New Roman" w:cs="David" w:eastAsia="David" w:hAnsi="Times New Roman"/>
          <w:sz w:val="20"/>
          <w:szCs w:val="20"/>
          <w:rtl/>
        </w:rPr>
        <w:t xml:space="preserve">, לעיל ה"ש 188, בפס' 44.</w:t>
      </w:r>
    </w:p>
  </w:footnote>
  <w:footnote w:id="261">
    <w:p>
      <w:pPr>
        <w:bidi/>
        <w:spacing w:after="40" w:line="240"/>
        <w:jc w:val="both"/>
      </w:pPr>
      <w:r>
        <w:rPr>
          <w:rStyle w:val="FootnoteReference"/>
        </w:rPr>
        <w:footnoteRef/>
      </w:r>
      <w:r>
        <w:rPr>
          <w:rFonts w:ascii="Times New Roman" w:cs="David" w:eastAsia="David" w:hAnsi="Times New Roman"/>
          <w:sz w:val="20"/>
          <w:szCs w:val="20"/>
          <w:rtl/>
        </w:rPr>
        <w:t xml:space="preserve"> שם, בפס' 45.</w:t>
      </w:r>
    </w:p>
  </w:footnote>
  <w:footnote w:id="262">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158.</w:t>
      </w:r>
    </w:p>
  </w:footnote>
  <w:footnote w:id="263">
    <w:p>
      <w:pPr>
        <w:bidi/>
        <w:spacing w:after="40" w:line="240"/>
        <w:jc w:val="both"/>
      </w:pPr>
      <w:r>
        <w:rPr>
          <w:rStyle w:val="FootnoteReference"/>
        </w:rPr>
        <w:footnoteRef/>
      </w:r>
      <w:r>
        <w:rPr>
          <w:rFonts w:ascii="Times New Roman" w:cs="David" w:eastAsia="David" w:hAnsi="Times New Roman"/>
          <w:sz w:val="20"/>
          <w:szCs w:val="20"/>
          <w:rtl/>
        </w:rPr>
        <w:t xml:space="preserve"> רותם קדוש נוסבאום "פגיעה בזכויות אדם בשל שימוש משטרתי באמצעים טכנולוגיים למעקב ושיטור מנבא" </w:t>
      </w:r>
      <w:r>
        <w:rPr>
          <w:rFonts w:ascii="Times New Roman" w:cs="David" w:eastAsia="David" w:hAnsi="Times New Roman"/>
          <w:b/>
          <w:bCs/>
          <w:sz w:val="20"/>
          <w:szCs w:val="20"/>
          <w:rtl/>
        </w:rPr>
        <w:t xml:space="preserve">המשפט</w:t>
      </w:r>
      <w:r>
        <w:rPr>
          <w:rFonts w:ascii="Times New Roman" w:cs="David" w:eastAsia="David" w:hAnsi="Times New Roman"/>
          <w:sz w:val="20"/>
          <w:szCs w:val="20"/>
          <w:rtl/>
        </w:rPr>
        <w:t xml:space="preserve"> לא 79, 112 (התשפ"ו).</w:t>
      </w:r>
    </w:p>
  </w:footnote>
  <w:footnote w:id="264">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i/>
          <w:iCs/>
          <w:sz w:val="20"/>
          <w:szCs w:val="20"/>
          <w:rtl w:val="false"/>
        </w:rPr>
        <w:t xml:space="preserve">Roberts‎</w:t>
      </w:r>
      <w:r>
        <w:rPr>
          <w:rFonts w:ascii="Times New Roman" w:cs="David" w:eastAsia="David" w:hAnsi="Times New Roman"/>
          <w:sz w:val="20"/>
          <w:szCs w:val="20"/>
          <w:rtl/>
        </w:rPr>
        <w:t xml:space="preserve">, לעיל ה"ש 188, בפס' 47.</w:t>
      </w:r>
    </w:p>
  </w:footnote>
  <w:footnote w:id="265">
    <w:p>
      <w:pPr>
        <w:bidi/>
        <w:spacing w:after="40" w:line="240"/>
        <w:jc w:val="both"/>
      </w:pPr>
      <w:r>
        <w:rPr>
          <w:rStyle w:val="FootnoteReference"/>
        </w:rPr>
        <w:footnoteRef/>
      </w:r>
      <w:r>
        <w:rPr>
          <w:rFonts w:ascii="Times New Roman" w:cs="David" w:eastAsia="David" w:hAnsi="Times New Roman"/>
          <w:sz w:val="20"/>
          <w:szCs w:val="20"/>
          <w:rtl/>
        </w:rPr>
        <w:t xml:space="preserve"> הרדוף "ויתור, הידברות, בג"ץ", לעיל ה"ש 248, בעמ' 1844.</w:t>
      </w:r>
    </w:p>
  </w:footnote>
  <w:footnote w:id="266">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161.</w:t>
      </w:r>
    </w:p>
  </w:footnote>
  <w:footnote w:id="267">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239.</w:t>
      </w:r>
    </w:p>
  </w:footnote>
  <w:footnote w:id="268">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ביקורת מעקב 2021</w:t>
      </w:r>
      <w:r>
        <w:rPr>
          <w:rFonts w:ascii="Times New Roman" w:cs="David" w:eastAsia="David" w:hAnsi="Times New Roman"/>
          <w:sz w:val="20"/>
          <w:szCs w:val="20"/>
          <w:rtl/>
        </w:rPr>
        <w:t xml:space="preserve">, לעיל ה"ש 2, בעמ' 4.</w:t>
      </w:r>
    </w:p>
  </w:footnote>
  <w:footnote w:id="269">
    <w:p>
      <w:pPr>
        <w:bidi/>
        <w:spacing w:after="40" w:line="240"/>
        <w:jc w:val="both"/>
      </w:pPr>
      <w:r>
        <w:rPr>
          <w:rStyle w:val="FootnoteReference"/>
        </w:rPr>
        <w:footnoteRef/>
      </w:r>
      <w:r>
        <w:rPr>
          <w:rFonts w:ascii="Times New Roman" w:cs="David" w:eastAsia="David" w:hAnsi="Times New Roman"/>
          <w:sz w:val="20"/>
          <w:szCs w:val="20"/>
          <w:rtl/>
        </w:rPr>
        <w:t xml:space="preserve"> חסייסי ואחרים "עמדות הציבור", לעיל ה"ש 138, בעמ' 302.</w:t>
      </w:r>
    </w:p>
  </w:footnote>
  <w:footnote w:id="270">
    <w:p>
      <w:pPr>
        <w:bidi/>
        <w:spacing w:after="40" w:line="240"/>
        <w:jc w:val="both"/>
      </w:pPr>
      <w:r>
        <w:rPr>
          <w:rStyle w:val="FootnoteReference"/>
        </w:rPr>
        <w:footnoteRef/>
      </w:r>
      <w:r>
        <w:rPr>
          <w:rFonts w:ascii="Times New Roman" w:cs="David" w:eastAsia="David" w:hAnsi="Times New Roman"/>
          <w:sz w:val="20"/>
          <w:szCs w:val="20"/>
          <w:rtl/>
        </w:rPr>
        <w:t xml:space="preserve"> שם, בעמ' 304.</w:t>
      </w:r>
    </w:p>
  </w:footnote>
  <w:footnote w:id="271">
    <w:p>
      <w:pPr>
        <w:bidi/>
        <w:spacing w:after="40" w:line="240"/>
        <w:jc w:val="both"/>
      </w:pPr>
      <w:r>
        <w:rPr>
          <w:rStyle w:val="FootnoteReference"/>
        </w:rPr>
        <w:footnoteRef/>
      </w:r>
      <w:r>
        <w:rPr>
          <w:rFonts w:ascii="Times New Roman" w:cs="David" w:eastAsia="David" w:hAnsi="Times New Roman"/>
          <w:sz w:val="20"/>
          <w:szCs w:val="20"/>
          <w:rtl/>
        </w:rPr>
        <w:t xml:space="preserve"> יכימוביץ-כהן </w:t>
      </w:r>
      <w:r>
        <w:rPr>
          <w:rFonts w:ascii="Times New Roman" w:cs="David" w:eastAsia="David" w:hAnsi="Times New Roman"/>
          <w:b/>
          <w:bCs/>
          <w:sz w:val="20"/>
          <w:szCs w:val="20"/>
          <w:rtl/>
        </w:rPr>
        <w:t xml:space="preserve">שיטור יתר</w:t>
      </w:r>
      <w:r>
        <w:rPr>
          <w:rFonts w:ascii="Times New Roman" w:cs="David" w:eastAsia="David" w:hAnsi="Times New Roman"/>
          <w:sz w:val="20"/>
          <w:szCs w:val="20"/>
          <w:rtl/>
        </w:rPr>
        <w:t xml:space="preserve">, לעיל ה"ש 3, בעמ' 6 (תרשים 1).</w:t>
      </w:r>
    </w:p>
  </w:footnote>
  <w:footnote w:id="27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Proactive Policing‎</w:t>
      </w:r>
      <w:r>
        <w:rPr>
          <w:rFonts w:ascii="Times New Roman" w:cs="David" w:eastAsia="David" w:hAnsi="Times New Roman"/>
          <w:sz w:val="20"/>
          <w:szCs w:val="20"/>
          <w:rtl/>
        </w:rPr>
        <w:t xml:space="preserve">, לעיל ה"ש 14, בעמ' 301.</w:t>
      </w:r>
    </w:p>
  </w:footnote>
  <w:footnote w:id="273">
    <w:p>
      <w:pPr>
        <w:bidi/>
        <w:spacing w:after="40" w:line="240"/>
        <w:jc w:val="both"/>
      </w:pPr>
      <w:r>
        <w:rPr>
          <w:rStyle w:val="FootnoteReference"/>
        </w:rPr>
        <w:footnoteRef/>
      </w:r>
      <w:r>
        <w:rPr>
          <w:rFonts w:ascii="Times New Roman" w:cs="David" w:eastAsia="David" w:hAnsi="Times New Roman"/>
          <w:sz w:val="20"/>
          <w:szCs w:val="20"/>
          <w:rtl/>
        </w:rPr>
        <w:t xml:space="preserve"> ויסבורד ואחרים "מיסוד שיטור מוכוון בעיות", לעיל ה"ש 5, בעמ' 163.</w:t>
      </w:r>
    </w:p>
  </w:footnote>
  <w:footnote w:id="274">
    <w:p>
      <w:pPr>
        <w:bidi/>
        <w:spacing w:after="40" w:line="240"/>
        <w:jc w:val="both"/>
      </w:pPr>
      <w:r>
        <w:rPr>
          <w:rStyle w:val="FootnoteReference"/>
        </w:rPr>
        <w:footnoteRef/>
      </w:r>
      <w:r>
        <w:rPr>
          <w:rFonts w:ascii="Times New Roman" w:cs="David" w:eastAsia="David" w:hAnsi="Times New Roman"/>
          <w:sz w:val="20"/>
          <w:szCs w:val="20"/>
          <w:rtl/>
        </w:rPr>
        <w:t xml:space="preserve"> ליטמנוביץ ואחרים, לעיל ה"ש 31, בעמ' 238.</w:t>
      </w:r>
    </w:p>
  </w:footnote>
  <w:footnote w:id="275">
    <w:p>
      <w:pPr>
        <w:bidi/>
        <w:spacing w:after="40" w:line="240"/>
        <w:jc w:val="both"/>
      </w:pPr>
      <w:r>
        <w:rPr>
          <w:rStyle w:val="FootnoteReference"/>
        </w:rPr>
        <w:footnoteRef/>
      </w:r>
      <w:r>
        <w:rPr>
          <w:rFonts w:ascii="Times New Roman" w:cs="David" w:eastAsia="David" w:hAnsi="Times New Roman"/>
          <w:sz w:val="20"/>
          <w:szCs w:val="20"/>
          <w:rtl/>
        </w:rPr>
        <w:t xml:space="preserve"> שם, בעמ' 240.</w:t>
      </w:r>
    </w:p>
  </w:footnote>
  <w:footnote w:id="276">
    <w:p>
      <w:pPr>
        <w:bidi/>
        <w:spacing w:after="40" w:line="240"/>
        <w:jc w:val="both"/>
      </w:pPr>
      <w:r>
        <w:rPr>
          <w:rStyle w:val="FootnoteReference"/>
        </w:rPr>
        <w:footnoteRef/>
      </w:r>
      <w:r>
        <w:rPr>
          <w:rFonts w:ascii="Times New Roman" w:cs="David" w:eastAsia="David" w:hAnsi="Times New Roman"/>
          <w:sz w:val="20"/>
          <w:szCs w:val="20"/>
          <w:rtl/>
        </w:rPr>
        <w:t xml:space="preserve"> מבקר המדינה </w:t>
      </w:r>
      <w:r>
        <w:rPr>
          <w:rFonts w:ascii="Times New Roman" w:cs="David" w:eastAsia="David" w:hAnsi="Times New Roman"/>
          <w:b/>
          <w:bCs/>
          <w:sz w:val="20"/>
          <w:szCs w:val="20"/>
          <w:rtl/>
        </w:rPr>
        <w:t xml:space="preserve">דוח 2018</w:t>
      </w:r>
      <w:r>
        <w:rPr>
          <w:rFonts w:ascii="Times New Roman" w:cs="David" w:eastAsia="David" w:hAnsi="Times New Roman"/>
          <w:sz w:val="20"/>
          <w:szCs w:val="20"/>
          <w:rtl/>
        </w:rPr>
        <w:t xml:space="preserve">, לעיל ה"ש 1, בעמ' 6.</w:t>
      </w:r>
    </w:p>
  </w:footnote>
  <w:footnote w:id="277">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Natapoff‎</w:t>
      </w:r>
      <w:r>
        <w:rPr>
          <w:rFonts w:ascii="Times New Roman" w:cs="David" w:eastAsia="David" w:hAnsi="Times New Roman"/>
          <w:sz w:val="20"/>
          <w:szCs w:val="20"/>
          <w:rtl/>
        </w:rPr>
        <w:t xml:space="preserve">, לעיל ה"ש 29, בעמ' 1718-1719.</w:t>
      </w:r>
    </w:p>
  </w:footnote>
  <w:footnote w:id="278">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PACE Code A‎</w:t>
      </w:r>
      <w:r>
        <w:rPr>
          <w:rFonts w:ascii="Times New Roman" w:cs="David" w:eastAsia="David" w:hAnsi="Times New Roman"/>
          <w:sz w:val="20"/>
          <w:szCs w:val="20"/>
          <w:rtl/>
        </w:rPr>
        <w:t xml:space="preserve">, לעיל ה"ש 148, בפס' </w:t>
      </w:r>
      <w:r>
        <w:rPr>
          <w:rFonts w:ascii="Times New Roman" w:cs="David" w:eastAsia="David" w:hAnsi="Times New Roman"/>
          <w:sz w:val="20"/>
          <w:szCs w:val="20"/>
          <w:rtl w:val="false"/>
        </w:rPr>
        <w:t xml:space="preserve">2.2B.‎</w:t>
      </w:r>
    </w:p>
  </w:footnote>
  <w:footnote w:id="279">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Macpherson Report‎</w:t>
      </w:r>
      <w:r>
        <w:rPr>
          <w:rFonts w:ascii="Times New Roman" w:cs="David" w:eastAsia="David" w:hAnsi="Times New Roman"/>
          <w:sz w:val="20"/>
          <w:szCs w:val="20"/>
          <w:rtl/>
        </w:rPr>
        <w:t xml:space="preserve">, לעיל ה"ש 184, בהמלצה 61.</w:t>
      </w:r>
    </w:p>
  </w:footnote>
  <w:footnote w:id="280">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Lammy Review‎</w:t>
      </w:r>
      <w:r>
        <w:rPr>
          <w:rFonts w:ascii="Times New Roman" w:cs="David" w:eastAsia="David" w:hAnsi="Times New Roman"/>
          <w:sz w:val="20"/>
          <w:szCs w:val="20"/>
          <w:rtl/>
        </w:rPr>
        <w:t xml:space="preserve">, לעיל ה"ש 196, בעמ' 14.</w:t>
      </w:r>
    </w:p>
  </w:footnote>
  <w:footnote w:id="281">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13, בפס' 41 לפסק דינה של הנשיאה חיות.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Times New Roman" w:cs="David" w:eastAsia="David" w:hAnsi="Times New Roman"/>
      <w:b/>
      <w:bCs/>
      <w:sz w:val="32"/>
      <w:szCs w:val="32"/>
    </w:rPr>
  </w:style>
  <w:style w:type="paragraph" w:styleId="Heading2">
    <w:name w:val="Heading 2"/>
    <w:basedOn w:val="Normal"/>
    <w:next w:val="Normal"/>
    <w:qFormat/>
    <w:pPr>
      <w:bidi/>
      <w:outlineLvl w:val="1"/>
    </w:pPr>
    <w:rPr>
      <w:rFonts w:ascii="Times New Roman" w:cs="David" w:eastAsia="David" w:hAnsi="Times New Roman"/>
      <w:b/>
      <w:bCs/>
      <w:sz w:val="28"/>
      <w:szCs w:val="28"/>
    </w:rPr>
  </w:style>
  <w:style w:type="paragraph" w:styleId="Heading3">
    <w:name w:val="Heading 3"/>
    <w:basedOn w:val="Normal"/>
    <w:next w:val="Normal"/>
    <w:qFormat/>
    <w:pPr>
      <w:bidi/>
      <w:outlineLvl w:val="2"/>
    </w:pPr>
    <w:rPr>
      <w:rFonts w:ascii="Times New Roman" w:cs="David" w:eastAsia="David"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2026-09-24T17:56:08.169Z</dcterms:created>
  <dcterms:modified xsi:type="dcterms:W3CDTF">2026-09-24T17:56:08.169Z</dcterms:modified>
</cp:coreProperties>
</file>

<file path=docProps/custom.xml><?xml version="1.0" encoding="utf-8"?>
<Properties xmlns="http://schemas.openxmlformats.org/officeDocument/2006/custom-properties" xmlns:vt="http://schemas.openxmlformats.org/officeDocument/2006/docPropsVTypes"/>
</file>