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0"/>
        <w:jc w:val="both"/>
      </w:pPr>
    </w:p>
    <w:p>
      <w:pPr>
        <w:bidi w:val="1"/>
        <w:spacing w:line="240" w:lineRule="auto" w:after="120"/>
        <w:jc w:val="center"/>
      </w:pPr>
      <w:r>
        <w:rPr>
          <w:rFonts w:ascii="David" w:hAnsi="David" w:cs="David"/>
          <w:b/>
          <w:i w:val="0"/>
          <w:sz w:val="28"/>
          <w:szCs w:val="28"/>
          <w:rtl w:val="1"/>
        </w:rPr>
        <w:t>אוניברסיטת בר-אילן | 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360" w:lineRule="auto" w:after="160"/>
        <w:jc w:val="both"/>
      </w:pPr>
      <w:r>
        <w:rPr>
          <w:rFonts w:ascii="David" w:hAnsi="David" w:cs="David"/>
          <w:b w:val="0"/>
          <w:i w:val="0"/>
          <w:sz w:val="24"/>
          <w:szCs w:val="24"/>
          <w:rtl w:val="1"/>
        </w:rPr>
        <w:t>הדיון מתקדם בשלושה מהלכים. תחילה מתואר כיצד כל מחזה ניגש אל המקור המיתי שלו ואל יסוד הגורל. לאחר מכן מועמדות שתי סצנות היסוד, הגיבורה מול השליט, זו מול זו. לבסוף נבחן הפתרון המנוגד של שני המחזות, הטרגי-פוליטי מול ההומני, ומה שאפשר ללמוד מן ההבדל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כפי שמראה דוארטה, העיבוד של 1948 הוא מחווה פוליטית מוצהרת שמבקשת רַציונליזציה של הטרגדיה היוונית, פירוק של יסוד הגורל וחשיפת המנגנון האנושי שמאחוריו (Duarte, 2017).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ומן ההצגה הבודדת הזאת נולד "המודל" (Antigonemodell) שמעמת את הצופה עם המבנה הזר של הטרגדיה במקום להמיס אותו באשליה (Duarte, 2017).</w:t>
      </w:r>
    </w:p>
    <w:p>
      <w:pPr>
        <w:bidi w:val="1"/>
        <w:spacing w:line="360" w:lineRule="auto" w:after="160"/>
        <w:jc w:val="both"/>
      </w:pPr>
      <w:r>
        <w:rPr>
          <w:rFonts w:ascii="David" w:hAnsi="David" w:cs="David"/>
          <w:b w:val="0"/>
          <w:i w:val="0"/>
          <w:sz w:val="24"/>
          <w:szCs w:val="24"/>
          <w:rtl w:val="1"/>
        </w:rPr>
        <w:t>ההבדל בין שתי הגישות ניכר כבר ברמת הצורה הדרמטית. ברכט אינו מבקש שהצופה יזדהה עם הגורל הטרגי אלא שיתבונן בו מבחוץ, ולכן הוא ממקם את הפרולוג בזמן ובמקום קונקרטיים ומנתק את הצופה מן ההזדהות המיתית. זהו מהלך של הרחקה, מן הכלים הפרשניים שהקורס מזהה כמרכזיים בתיאטרון של ברכט (בן-חורין, תשפ"ו). גיתה, לעומתו, אינו מרחיק את הגורל אלא מפנים אותו. מה שהיה אצל אוריפידס כוח חיצוני של האלים הופך אצלו לקול המצפון הפנימי של הגיבורה, והדרמה כולה נעה מן החוץ אל הפנים, מן המיתוס אל הנפש (גיתה, 1787/1981).</w:t>
      </w:r>
    </w:p>
    <w:p>
      <w:pPr>
        <w:bidi w:val="1"/>
        <w:spacing w:line="360" w:lineRule="auto" w:after="160"/>
        <w:jc w:val="both"/>
      </w:pPr>
      <w:r>
        <w:rPr>
          <w:rFonts w:ascii="David" w:hAnsi="David" w:cs="David"/>
          <w:b w:val="0"/>
          <w:i w:val="0"/>
          <w:sz w:val="24"/>
          <w:szCs w:val="24"/>
          <w:rtl w:val="1"/>
        </w:rPr>
        <w:t>גם מבנה הטקסט נושא את ההבדל הזה. "איפיגניה בטאוריס" כתובה בתבנית הקלאסית הסגורה, בחרוזים לבנים מדודים, שבה כל מהלך נובע מקודמו עד הפיוס, צורה שמגלמת בעצמה את אמון ויימאר בהרמוניה ובמידה (גיתה, 1787/1981). ברכט, לעומת זאת, כותב דרמה אפית ופתוחה, קטועה, המשלבת מקהלה ופרולוג עכשווי ומסרבת לאשליה של רצף אחיד. הקורס מדגיש שתיאור המאפיינים הדרמטיים של הטקסט הוא חלק מן הקריאה בו, וכאן הצורה אינה עטיפה חיצונית אלא נושאת בעצמה את עמדת היוצר כלפי המיתוס (בן-חורין, תשפ"ו).</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שהקורס בוחן בהקשר של התקבלות המחזה, אלא בין הפרט לשלטון תוקפני שמוביל את עמו למלחמת שווא (בן-חורין, תשפ"ו). אנטיגונה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של שני המחזות זו מול זו מלמדת שהמיתוס אינו נושא בתוכו משמעות אחת קבועה, אלא הוא מעין מסך שעליו כל דרמטורג מקרין את שאלת התקופה שלו (בן-חורין, תשפ"ו). גיתה, בן הקלאסיקה של ויימאר, מקרין על המיתוס את האמונה הנאורה ביכולת האדם להשתלם ולגבור על הברבריות. ברכט, אחרי אושוויץ ואחרי המלחמה, כבר אינו יכול להאמין בגאולה הזאת, ולכן הופך את המיתוס למחווה פוליטית ולכלי ביקורת (Duarte, 2017).</w:t>
      </w:r>
    </w:p>
    <w:p>
      <w:pPr>
        <w:bidi w:val="1"/>
        <w:spacing w:line="360" w:lineRule="auto" w:after="160"/>
        <w:jc w:val="both"/>
      </w:pPr>
      <w:r>
        <w:rPr>
          <w:rFonts w:ascii="David" w:hAnsi="David" w:cs="David"/>
          <w:b w:val="0"/>
          <w:i w:val="0"/>
          <w:sz w:val="24"/>
          <w:szCs w:val="24"/>
          <w:rtl w:val="1"/>
        </w:rPr>
        <w:t>ההבדל הזה נוגע ישירות בשאלה שהמחזות מציבים על הגיבורה. אנטיגונה של ברכט ואיפיגניה של גיתה שתיהן נשים שמתייצבות מול סמכות גברית בשם ערך עליון, אך אצל ברכט הערך הוא צדק פוליטי שמוביל אל מוות, ואצל גיתה הוא אנושיות שמובילה אל חיים. שתי הגיבורות מגלמות שני חלומות שונים על התנגדות, אחת מנצחת דרך מותה ומחאתה, והשנייה דרך כוחה לשנות את האחר בלי אלימות (בן-חורין, תשפ"ו).</w:t>
      </w:r>
    </w:p>
    <w:p>
      <w:pPr>
        <w:bidi w:val="1"/>
        <w:spacing w:line="360" w:lineRule="auto" w:after="160"/>
        <w:jc w:val="both"/>
      </w:pPr>
      <w:r>
        <w:rPr>
          <w:rFonts w:ascii="David" w:hAnsi="David" w:cs="David"/>
          <w:b w:val="0"/>
          <w:i w:val="0"/>
          <w:sz w:val="24"/>
          <w:szCs w:val="24"/>
          <w:rtl w:val="1"/>
        </w:rPr>
        <w:t>על רקע זה מתחדדת גם משמעותה של הבחירה בגיבורה אישה בשני המחזות. שתיהן מציבות את קולן מול סמכות גברית, אך אצל ברכט ההתנגדות נשמעת בשפת הכוח והפוליטיקה, ואילו אצל גיתה היא נשמעת בשפת האמת והמצפון. אין כאן דגם אחד של גבורה נשית אלא שניים: האחת מפרה את הצו ומשלמת על כך בחייה, השנייה אינה מפרה דבר אלא משנה את הצו מבפנים, בכוח דיבורה. ההעמדה של שתי הדמויות זו מול זו היא בדיוק סוג הקריאה ההשוואתית שהקורס מציע ככלי פרשני, קריאה שאינה בוחנת יצירה יחידה אלא את היחסים בין יצירות הפונות אל אותו מיתוס (בן-חורין, תשפ"ו).</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[סילבוס הקורס]. אוניברסיטת בר-אילן.</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Duarte, B. C. (2017). Rhythm and structure: Brecht's Antigone in performance. </w:t>
      </w:r>
      <w:r>
        <w:rPr>
          <w:rFonts w:ascii="David" w:hAnsi="David" w:cs="David"/>
          <w:i/>
          <w:sz w:val="24"/>
          <w:szCs w:val="24"/>
        </w:rPr>
        <w:t>Performance Philosophy, 2</w:t>
      </w:r>
      <w:r>
        <w:rPr>
          <w:rFonts w:ascii="David" w:hAnsi="David" w:cs="David"/>
          <w:i w:val="0"/>
          <w:sz w:val="24"/>
          <w:szCs w:val="24"/>
        </w:rPr>
        <w:t>(2), 222-240.</w:t>
      </w:r>
      <w:r>
        <w:t xml:space="preserve"> </w:t>
      </w:r>
      <w:hyperlink r:id="rId9">
        <w:r>
          <w:rPr>
            <w:rFonts w:ascii="David" w:hAnsi="David" w:cs="David"/>
            <w:sz w:val="24"/>
            <w:szCs w:val="24"/>
            <w:color w:val="0563C1"/>
            <w:u w:val="single"/>
          </w:rPr>
          <w:t xml:space="preserve">https://doi.org/10.21476/pp.2017.2295</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1476/pp.2017.22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