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bidi/>
        <w:spacing w:line="480"/>
        <w:jc w:val="center"/>
      </w:pPr>
      <w:r>
        <w:rPr>
          <w:rFonts w:ascii="David" w:cs="David" w:eastAsia="David" w:hAnsi="David"/>
          <w:b/>
          <w:bCs/>
          <w:sz w:val="36"/>
          <w:szCs w:val="36"/>
          <w:rtl/>
        </w:rPr>
        <w:t xml:space="preserve">רווחה נפשית ותפיסת הלגיטימיות של סגל הכליאה בקרב אסירים שפוטים בישראל</w:t>
      </w:r>
    </w:p>
    <w:p>
      <w:r>
        <w:t xml:space="preserve"/>
      </w:r>
    </w:p>
    <w:p>
      <w:r>
        <w:t xml:space="preserve"/>
      </w:r>
    </w:p>
    <w:p>
      <w:pPr>
        <w:bidi/>
        <w:spacing w:after="120" w:line="360"/>
        <w:jc w:val="center"/>
      </w:pPr>
      <w:r>
        <w:rPr>
          <w:rFonts w:ascii="David" w:cs="David" w:eastAsia="David" w:hAnsi="David"/>
          <w:sz w:val="24"/>
          <w:szCs w:val="24"/>
          <w:rtl/>
        </w:rPr>
        <w:t xml:space="preserve">עבודה מוגשת במסגרת סמינריון תנאי כליאה של אסירים פליליים בישראל ובעולם</w:t>
      </w:r>
    </w:p>
    <w:p>
      <w:pPr>
        <w:bidi/>
        <w:spacing w:after="120" w:line="360"/>
        <w:jc w:val="center"/>
      </w:pPr>
      <w:r>
        <w:rPr>
          <w:rFonts w:ascii="David" w:cs="David" w:eastAsia="David" w:hAnsi="David"/>
          <w:sz w:val="24"/>
          <w:szCs w:val="24"/>
          <w:rtl/>
        </w:rPr>
        <w:t xml:space="preserve">מרצה: ד"ר יוחנן ועקנין</w:t>
      </w:r>
    </w:p>
    <w:p>
      <w:r>
        <w:t xml:space="preserve"/>
      </w:r>
    </w:p>
    <w:p>
      <w:pPr>
        <w:bidi/>
        <w:spacing w:after="120" w:line="360"/>
        <w:jc w:val="center"/>
      </w:pPr>
      <w:r>
        <w:rPr>
          <w:rFonts w:ascii="David" w:cs="David" w:eastAsia="David" w:hAnsi="David"/>
          <w:sz w:val="24"/>
          <w:szCs w:val="24"/>
          <w:rtl/>
        </w:rPr>
        <w:t xml:space="preserve">מאת</w:t>
      </w:r>
    </w:p>
    <w:p>
      <w:pPr>
        <w:bidi/>
        <w:spacing w:after="120" w:line="360"/>
        <w:jc w:val="center"/>
      </w:pPr>
      <w:r>
        <w:rPr>
          <w:rFonts w:ascii="David" w:cs="David" w:eastAsia="David" w:hAnsi="David"/>
          <w:sz w:val="24"/>
          <w:szCs w:val="24"/>
          <w:highlight w:val="yellow"/>
          <w:rtl/>
        </w:rPr>
        <w:t xml:space="preserve">שם, מספר זהות</w:t>
      </w:r>
    </w:p>
    <w:p>
      <w:pPr>
        <w:bidi/>
        <w:spacing w:after="120" w:line="360"/>
        <w:jc w:val="center"/>
      </w:pPr>
      <w:r>
        <w:rPr>
          <w:rFonts w:ascii="David" w:cs="David" w:eastAsia="David" w:hAnsi="David"/>
          <w:sz w:val="24"/>
          <w:szCs w:val="24"/>
          <w:highlight w:val="yellow"/>
          <w:rtl/>
        </w:rPr>
        <w:t xml:space="preserve">שם, מספר זהות</w:t>
      </w:r>
    </w:p>
    <w:p>
      <w:r>
        <w:t xml:space="preserve"/>
      </w:r>
    </w:p>
    <w:p>
      <w:r>
        <w:t xml:space="preserve"/>
      </w:r>
    </w:p>
    <w:p>
      <w:pPr>
        <w:bidi/>
        <w:spacing w:after="120" w:line="360"/>
        <w:jc w:val="center"/>
      </w:pPr>
      <w:r>
        <w:rPr>
          <w:rFonts w:ascii="David" w:cs="David" w:eastAsia="David" w:hAnsi="David"/>
          <w:sz w:val="24"/>
          <w:szCs w:val="24"/>
          <w:rtl/>
        </w:rPr>
        <w:t xml:space="preserve">החוג לקרימינולוגיה</w:t>
      </w:r>
    </w:p>
    <w:p>
      <w:pPr>
        <w:bidi/>
        <w:spacing w:after="120" w:line="360"/>
        <w:jc w:val="center"/>
      </w:pPr>
      <w:r>
        <w:rPr>
          <w:rFonts w:ascii="David" w:cs="David" w:eastAsia="David" w:hAnsi="David"/>
          <w:sz w:val="24"/>
          <w:szCs w:val="24"/>
          <w:rtl/>
        </w:rPr>
        <w:t xml:space="preserve">המכללה האקדמית אשקלון</w:t>
      </w:r>
    </w:p>
    <w:p>
      <w:r>
        <w:t xml:space="preserve"/>
      </w:r>
    </w:p>
    <w:p>
      <w:r>
        <w:t xml:space="preserve"/>
      </w:r>
    </w:p>
    <w:p>
      <w:r>
        <w:t xml:space="preserve"/>
      </w:r>
    </w:p>
    <w:p>
      <w:r>
        <w:t xml:space="preserve"/>
      </w:r>
    </w:p>
    <w:p>
      <w:pPr>
        <w:bidi/>
        <w:spacing w:after="120" w:line="360"/>
        <w:jc w:val="center"/>
      </w:pPr>
      <w:r>
        <w:rPr>
          <w:rFonts w:ascii="David" w:cs="David" w:eastAsia="David" w:hAnsi="David"/>
          <w:sz w:val="24"/>
          <w:szCs w:val="24"/>
          <w:rtl/>
        </w:rPr>
        <w:t xml:space="preserve">אשקלון, </w:t>
      </w:r>
      <w:r>
        <w:rPr>
          <w:rFonts w:ascii="David" w:cs="David" w:eastAsia="David" w:hAnsi="David"/>
          <w:sz w:val="24"/>
          <w:szCs w:val="24"/>
          <w:highlight w:val="yellow"/>
          <w:rtl/>
        </w:rPr>
        <w:t xml:space="preserve">אלול תשפ"ו, ספטמבר </w:t>
      </w:r>
      <w:r>
        <w:rPr>
          <w:rFonts w:ascii="Times New Roman" w:cs="Times New Roman" w:eastAsia="Times New Roman" w:hAnsi="Times New Roman"/>
          <w:sz w:val="24"/>
          <w:szCs w:val="24"/>
          <w:highlight w:val="yellow"/>
        </w:rPr>
        <w:t xml:space="preserve">2026</w:t>
      </w:r>
    </w:p>
    <w:p>
      <w:pPr>
        <w:pageBreakBefore/>
        <w:bidi/>
        <w:spacing w:after="240"/>
        <w:jc w:val="right"/>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jc w:val="right"/>
      </w:pPr>
      <w:r>
        <w:rPr>
          <w:rFonts w:ascii="David" w:cs="David" w:eastAsia="David" w:hAnsi="David"/>
          <w:b/>
          <w:bCs/>
          <w:sz w:val="32"/>
          <w:szCs w:val="32"/>
          <w:rtl/>
        </w:rPr>
        <w:t xml:space="preserve">תקציר בעברית</w:t>
      </w:r>
    </w:p>
    <w:p>
      <w:pPr>
        <w:bidi/>
        <w:spacing w:after="120" w:line="360"/>
        <w:ind w:firstLine="567"/>
        <w:jc w:val="both"/>
      </w:pPr>
      <w:r>
        <w:rPr>
          <w:rFonts w:ascii="David" w:cs="David" w:eastAsia="David" w:hAnsi="David"/>
          <w:sz w:val="24"/>
          <w:szCs w:val="24"/>
          <w:rtl/>
        </w:rPr>
        <w:t xml:space="preserve">המחקר בחן באיזו מידה קיים קשר בין רווחה נפשית לבין תפיסת הלגיטימיות של סגל הכליאה בקרב אסירים שפוטים בישראל. המסגרת התאורטית נשענת על גישת הצדק הפרוצדורלי ועל ספרות ההסתגלות למאסר. הנתונים הם נתונים סינתטיים המבוססים על סקר תנאי המחיה שנערך בשירות בתי הסוהר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והניתוח צומצם ל</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הלגיטימיות נמדדה בשלושה פריטים והרווחה הנפשית בחמישה,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שפוטים ברמת הלגיטימיות הגבוהה דיווחו על רווחה נפשית גבוהה בכ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מאלו ברמה הנמוכה. הממצאים תואמים מחקרים מהולנד, מאנגליה ומאוסטרליה, ומלמדים שרווחת האסיר ותפיסת הסגל כרוכות זו בזו. בסיום מוצעות המלצות יישומיות לניהול אגפים.</w:t>
      </w:r>
    </w:p>
    <w:p>
      <w:pPr>
        <w:bidi/>
        <w:spacing w:after="120" w:line="360"/>
        <w:jc w:val="both"/>
      </w:pPr>
      <w:r>
        <w:rPr>
          <w:rFonts w:ascii="David" w:cs="David" w:eastAsia="David" w:hAnsi="David"/>
          <w:sz w:val="24"/>
          <w:szCs w:val="24"/>
          <w:rtl/>
        </w:rPr>
        <w:t xml:space="preserve">מילות מפתח: לגיטימיות, רווחה נפשית, צדק פרוצדורלי, אסירים שפוטים, שירות בתי הסוהר</w:t>
      </w:r>
    </w:p>
    <w:p>
      <w:pPr>
        <w:pStyle w:val="Heading1"/>
        <w:pageBreakBefore/>
        <w:bidi/>
        <w:spacing w:after="240" w:before="0" w:line="360"/>
        <w:jc w:val="right"/>
      </w:pPr>
      <w:r>
        <w:rPr>
          <w:rFonts w:ascii="David" w:cs="David" w:eastAsia="David" w:hAnsi="David"/>
          <w:b/>
          <w:bCs/>
          <w:sz w:val="32"/>
          <w:szCs w:val="32"/>
          <w:rtl/>
        </w:rPr>
        <w:t xml:space="preserve">תקציר באנגלית</w:t>
      </w:r>
    </w:p>
    <w:p>
      <w:pPr>
        <w:spacing w:after="120" w:line="360"/>
        <w:jc w:val="both"/>
      </w:pPr>
      <w:r>
        <w:rPr>
          <w:rFonts w:ascii="Times New Roman" w:cs="Times New Roman" w:eastAsia="Times New Roman" w:hAnsi="Times New Roman"/>
          <w:sz w:val="24"/>
          <w:szCs w:val="24"/>
        </w:rPr>
        <w:t xml:space="preserve">This study examined to what extent mental well-being is associated with the perceived legitimacy of prison staff among sentenced prisoners in Israel. The theoretical framework draws on procedural justice theory and on the literature on adaptation to imprisonment. The data are synthetic and modeled on the Israel Prison Service living conditions survey conducted in autumn 2021; the analysis was restricted to 2,379 sentenced prisoners. Legitimacy was measured with three items and well-being with five, on a 1 to 5 scale. A significant, moderate positive correlation was found between well-being and legitimacy (r = .32, p &lt; .001): prisoners in the high-legitimacy group reported well-being about 0.7 points higher than those in the low-legitimacy group. The findings are consistent with studies from the Netherlands, England and Australia, and suggest that prisoners' well-being and their view of staff are intertwined. Practical recommendations for wing management are offered.</w:t>
      </w:r>
    </w:p>
    <w:p>
      <w:pPr>
        <w:spacing w:after="120" w:line="360"/>
        <w:jc w:val="both"/>
      </w:pPr>
      <w:r>
        <w:rPr>
          <w:rFonts w:ascii="Times New Roman" w:cs="Times New Roman" w:eastAsia="Times New Roman" w:hAnsi="Times New Roman"/>
          <w:sz w:val="24"/>
          <w:szCs w:val="24"/>
        </w:rPr>
        <w:t xml:space="preserve">Keywords: legitimacy, mental well-being, procedural justice, sentenced prisoners, Israel Prison Service</w:t>
      </w:r>
    </w:p>
    <w:p>
      <w:pPr>
        <w:pStyle w:val="Heading1"/>
        <w:pageBreakBefore/>
        <w:bidi/>
        <w:spacing w:after="240" w:before="0" w:line="360"/>
        <w:jc w:val="right"/>
      </w:pPr>
      <w:r>
        <w:rPr>
          <w:rFonts w:ascii="David" w:cs="David" w:eastAsia="David" w:hAnsi="David"/>
          <w:b/>
          <w:bCs/>
          <w:sz w:val="32"/>
          <w:szCs w:val="32"/>
          <w:rtl/>
        </w:rPr>
        <w:t xml:space="preserve">מבוא</w:t>
      </w:r>
    </w:p>
    <w:p>
      <w:pPr>
        <w:bidi/>
        <w:spacing w:after="120" w:line="360"/>
        <w:ind w:firstLine="567"/>
        <w:jc w:val="both"/>
      </w:pPr>
      <w:r>
        <w:rPr>
          <w:rFonts w:ascii="David" w:cs="David" w:eastAsia="David" w:hAnsi="David"/>
          <w:sz w:val="24"/>
          <w:szCs w:val="24"/>
          <w:rtl/>
        </w:rPr>
        <w:t xml:space="preserve">בית הסוהר הוא מוסד שבו סמכות הסגל כמעט מוחלטת, ובכל זאת הסדר היומיומי באגף תלוי בשיתוף פעולה של האסירים.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טענו שסדר בבתי סוהר אינו מתקיים בכוח בלבד אלא נשען על תחושת האסירים שהמשטר שבו הם חיים הוגן, ושמי שמפעיל אותו ראוי לציות. תחושה זו היא מה שהספרות מכנה לגיטימיות: המידה שבה הכפופים לסמכות רואים בה סמכות שראוי לציית לה, ולא רק סמכות שאפשר להיענש על ידה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בהקשר הכליאה, הלגיטימיות היא האופן שבו האסיר שופט את הסוהרים ואת אנשי הסגל: האם הם מכבדים אותו, האם אפשר לפנות אליהם, האם בקשותיו מטופלות.</w:t>
      </w:r>
    </w:p>
    <w:p>
      <w:pPr>
        <w:bidi/>
        <w:spacing w:after="120" w:line="360"/>
        <w:ind w:firstLine="567"/>
        <w:jc w:val="both"/>
      </w:pPr>
      <w:r>
        <w:rPr>
          <w:rFonts w:ascii="David" w:cs="David" w:eastAsia="David" w:hAnsi="David"/>
          <w:sz w:val="24"/>
          <w:szCs w:val="24"/>
          <w:rtl/>
        </w:rPr>
        <w:t xml:space="preserve">ההקשר הישראלי מוסיף לשאלה משקל. תקנות בתי הסוהר קובעות שטח מחיה של </w:t>
      </w:r>
      <w:r>
        <w:rPr>
          <w:rFonts w:ascii="Times New Roman" w:cs="Times New Roman" w:eastAsia="Times New Roman" w:hAnsi="Times New Roman"/>
          <w:sz w:val="24"/>
          <w:szCs w:val="24"/>
        </w:rPr>
        <w:t xml:space="preserve">4.5</w:t>
      </w:r>
      <w:r>
        <w:rPr>
          <w:rFonts w:ascii="David" w:cs="David" w:eastAsia="David" w:hAnsi="David"/>
          <w:sz w:val="24"/>
          <w:szCs w:val="24"/>
          <w:rtl/>
        </w:rPr>
        <w:t xml:space="preserve"> מטרים רבועים לאסיר, אך במאי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מועד הפעימה הראשונה שקבע בג"ץ בעתירה </w:t>
      </w:r>
      <w:r>
        <w:rPr>
          <w:rFonts w:ascii="Times New Roman" w:cs="Times New Roman" w:eastAsia="Times New Roman" w:hAnsi="Times New Roman"/>
          <w:sz w:val="24"/>
          <w:szCs w:val="24"/>
        </w:rPr>
        <w:t xml:space="preserve">1892</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14,</w:t>
      </w:r>
      <w:r>
        <w:rPr>
          <w:rFonts w:ascii="David" w:cs="David" w:eastAsia="David" w:hAnsi="David"/>
          <w:sz w:val="24"/>
          <w:szCs w:val="24"/>
          <w:rtl/>
        </w:rPr>
        <w:t xml:space="preserve">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ממקומות הכליאה עדיין היו קטנים מתקן זה (יכימוביץ-כהן,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מחקר שנערך בשירות בתי הסוהר מצא שככל שהשטח האפקטיבי לאסיר קטן, כך עולה מספר אירועי האלימות באגף (בן צבי וכרמל, </w:t>
      </w:r>
      <w:r>
        <w:rPr>
          <w:rFonts w:ascii="Times New Roman" w:cs="Times New Roman" w:eastAsia="Times New Roman" w:hAnsi="Times New Roman"/>
          <w:sz w:val="24"/>
          <w:szCs w:val="24"/>
        </w:rPr>
        <w:t xml:space="preserve">2013</w:t>
      </w:r>
      <w:r>
        <w:rPr>
          <w:rFonts w:ascii="David" w:cs="David" w:eastAsia="David" w:hAnsi="David"/>
          <w:sz w:val="24"/>
          <w:szCs w:val="24"/>
          <w:rtl/>
        </w:rPr>
        <w:t xml:space="preserve">). על רקע זה נערך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סקר תנאי המחיה הראשון בהיקפו בשירות בתי הסוהר, בקרב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פליליים. הסקר בחן תשעה תחומים של תנאי מחיה ומצא שהלגיטימיות ממתנת את הקשר בין שביעות הרצון מתנאי המחיה לבין שביעות הרצון מפעילויות חינוך, טיפול ושיקום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לוקח מאותו מערך נתונים חוט אחד ובוחן אותו לעומק: הקשר בין רווחתו הנפשית של האסיר לבין האופן שבו הוא תופס את לגיטימיות הסגל. הבחירה להתמקד בשפוטים בלבד אינה מקרית. עצור נמצא במצב זמני ולא ודאי, ואילו לשפוט יש אופק ידוע, שהות ממושכת יותר באגף וחשיפה ארוכה יותר לאותו סגל. ואכן, בסקר המקורי דיווחו השפוטים על לגיטימיות גבוהה יותר מהעצורים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תהליכי ההסתגלות למאסר, שהם חלק ממוקד המחקר, רלוונטיים לשפוטים יותר מלעצורים </w:t>
      </w:r>
      <w:r>
        <w:rPr>
          <w:rFonts w:ascii="Times New Roman" w:cs="Times New Roman" w:eastAsia="Times New Roman" w:hAnsi="Times New Roman"/>
          <w:sz w:val="24"/>
          <w:szCs w:val="24"/>
        </w:rPr>
        <w:t xml:space="preserve">(Liebling &amp; Maruna, 2005)</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מטרת המחקר ומבנה העבודה</w:t>
      </w:r>
    </w:p>
    <w:p>
      <w:pPr>
        <w:bidi/>
        <w:spacing w:after="120" w:line="360"/>
        <w:ind w:firstLine="567"/>
        <w:jc w:val="both"/>
      </w:pPr>
      <w:r>
        <w:rPr>
          <w:rFonts w:ascii="David" w:cs="David" w:eastAsia="David" w:hAnsi="David"/>
          <w:sz w:val="24"/>
          <w:szCs w:val="24"/>
          <w:rtl/>
        </w:rPr>
        <w:t xml:space="preserve">מטרת המחקר היא לבחון את הקשר בין רווחה נפשית לבין תפיסת הלגיטימיות של סגל הכליאה בקרב אסירים שפוטים. הלגיטימיות היא המשתנה התלוי והרווחה הנפשית היא המשתנה הבלתי תלוי. העבודה פותחת בסקירת ספרות בשני חלקים, הסתגלות למאסר ורווחה נפשית מצד אחד ולגיטימיות של סגל הכליאה מצד שני, ומסתיימת בשאלת המחקר ובהשערה. לאחר מכן מוצגים פרק השיטה, פרק הממצאים והדיון, ובסופם מגבלות המחקר, סיכום, גילוי נאות ורשימת המקורות. הפלטים הסטטיסטיים מובאים בנספח.</w:t>
      </w:r>
    </w:p>
    <w:p>
      <w:pPr>
        <w:pStyle w:val="Heading1"/>
        <w:pageBreakBefore/>
        <w:bidi/>
        <w:spacing w:after="240" w:before="0" w:line="360"/>
        <w:jc w:val="right"/>
      </w:pPr>
      <w:r>
        <w:rPr>
          <w:rFonts w:ascii="David" w:cs="David" w:eastAsia="David" w:hAnsi="David"/>
          <w:b/>
          <w:bCs/>
          <w:sz w:val="32"/>
          <w:szCs w:val="32"/>
          <w:rtl/>
        </w:rPr>
        <w:t xml:space="preserve">סקירת ספרות</w:t>
      </w:r>
    </w:p>
    <w:p>
      <w:pPr>
        <w:pStyle w:val="Heading2"/>
        <w:keepNext/>
        <w:bidi/>
        <w:spacing w:after="120" w:before="240" w:line="360"/>
        <w:jc w:val="right"/>
      </w:pPr>
      <w:r>
        <w:rPr>
          <w:rFonts w:ascii="David" w:cs="David" w:eastAsia="David" w:hAnsi="David"/>
          <w:b/>
          <w:bCs/>
          <w:sz w:val="28"/>
          <w:szCs w:val="28"/>
          <w:rtl/>
        </w:rPr>
        <w:t xml:space="preserve">הסתגלות למאסר ורווחה נפשית</w:t>
      </w:r>
    </w:p>
    <w:p>
      <w:pPr>
        <w:bidi/>
        <w:spacing w:after="120" w:line="360"/>
        <w:ind w:firstLine="567"/>
        <w:jc w:val="both"/>
      </w:pPr>
      <w:r>
        <w:rPr>
          <w:rFonts w:ascii="David" w:cs="David" w:eastAsia="David" w:hAnsi="David"/>
          <w:sz w:val="24"/>
          <w:szCs w:val="24"/>
          <w:rtl/>
        </w:rPr>
        <w:t xml:space="preserve">נקודת המוצא לכל דיון בהסתגלות למאסר היא עבודתו של סייקס </w:t>
      </w:r>
      <w:r>
        <w:rPr>
          <w:rFonts w:ascii="Times New Roman" w:cs="Times New Roman" w:eastAsia="Times New Roman" w:hAnsi="Times New Roman"/>
          <w:sz w:val="24"/>
          <w:szCs w:val="24"/>
        </w:rPr>
        <w:t xml:space="preserve">(Sykes, 1958)</w:t>
      </w:r>
      <w:r>
        <w:rPr>
          <w:rFonts w:ascii="David" w:cs="David" w:eastAsia="David" w:hAnsi="David"/>
          <w:sz w:val="24"/>
          <w:szCs w:val="24"/>
          <w:rtl/>
        </w:rPr>
        <w:t xml:space="preserve">, שתיאר את "כאבי המאסר": אובדן החירות, אובדן טובין ושירותים, אובדן קשרים אינטימיים, אובדן האוטונומיה ואובדן תחושת הביטחון. סייקס ראה בכאבים אלו לא רק אי-נוחות אלא איום על תפיסת העצמי של האסיר, וטען שחיי האגף הם תגובה קולקטיבית לאיום זה. מודל המחסור שנגזר מעבודתו מניח שהתנהגות האסיר היא תוצאה ישירה של סביבת בית הסוהר, ולכן תנאי כליאה נוקשים צפויים להוליד התנהגות שלילית יותר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חמשת הכאבים הללו הם הבסיס שממנו צומחת השאלה כיצד אדם מסתגל למקום שנועד לשלול ממנו כמעט הכול.</w:t>
      </w:r>
    </w:p>
    <w:p>
      <w:pPr>
        <w:bidi/>
        <w:spacing w:after="120" w:line="360"/>
        <w:ind w:firstLine="567"/>
        <w:jc w:val="both"/>
      </w:pPr>
      <w:r>
        <w:rPr>
          <w:rFonts w:ascii="David" w:cs="David" w:eastAsia="David" w:hAnsi="David"/>
          <w:sz w:val="24"/>
          <w:szCs w:val="24"/>
          <w:rtl/>
        </w:rPr>
        <w:t xml:space="preserve">הספרות המאוחרת עברה מתיאור כללי של המאסר לבחינה של הבדלים בין בתי סוהר ובין אסירים. ליבלינג ומרונה </w:t>
      </w:r>
      <w:r>
        <w:rPr>
          <w:rFonts w:ascii="Times New Roman" w:cs="Times New Roman" w:eastAsia="Times New Roman" w:hAnsi="Times New Roman"/>
          <w:sz w:val="24"/>
          <w:szCs w:val="24"/>
        </w:rPr>
        <w:t xml:space="preserve">(Liebling &amp; Maruna, 2005)</w:t>
      </w:r>
      <w:r>
        <w:rPr>
          <w:rFonts w:ascii="David" w:cs="David" w:eastAsia="David" w:hAnsi="David"/>
          <w:sz w:val="24"/>
          <w:szCs w:val="24"/>
          <w:rtl/>
        </w:rPr>
        <w:t xml:space="preserve"> הראו שהשפעות המאסר אינן אחידות: תקופת הקליטה היא הפגיעה ביותר, והמצוקה הנפשית מרוכזת בשבועות הראשונים. ליבלינג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הוסיפה מסגרת מושגית שקראה לה "הביצוע המוסרי" של בית הסוהר, שכולל כבוד, אנושיות, יחסים עם הסגל, הוגנות וביטחון, ומצאה שממדים אלו נבדלים בין מוסדות ומתואמים עם רמת המצוקה של האסירים. בהמשך לכך 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סף אמפירי: בבתי סוהר שבהם ציון היחסים בין סגל לאסירים נמוך מ</w:t>
      </w:r>
      <w:r>
        <w:rPr>
          <w:rFonts w:ascii="Times New Roman" w:cs="Times New Roman" w:eastAsia="Times New Roman" w:hAnsi="Times New Roman"/>
          <w:sz w:val="24"/>
          <w:szCs w:val="24"/>
        </w:rPr>
        <w:t xml:space="preserve">-3.05</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שיעורי האלימות, הפגיעה העצמית והמוות נמצאו גבוהים באופן מובהק. בהולנד מצאו ון גינקן ואחרים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באמצעות סקר "החיים במשמורת" שממנו נגזר גם השאלון הישראלי, שממדי האקלים של בית הסוהר, ובראשם היחסים עם הסגל, קשורים לרווחתם הנפשית של האסירים.</w:t>
      </w:r>
    </w:p>
    <w:p>
      <w:pPr>
        <w:bidi/>
        <w:spacing w:after="120" w:line="360"/>
        <w:ind w:firstLine="567"/>
        <w:jc w:val="both"/>
      </w:pPr>
      <w:r>
        <w:rPr>
          <w:rFonts w:ascii="David" w:cs="David" w:eastAsia="David" w:hAnsi="David"/>
          <w:sz w:val="24"/>
          <w:szCs w:val="24"/>
          <w:rtl/>
        </w:rPr>
        <w:t xml:space="preserve">הקשר בין יחס הסגל לרווחה נחקר גם במערכי אורך. בייארסברגן ואחרים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ראיינו </w:t>
      </w:r>
      <w:r>
        <w:rPr>
          <w:rFonts w:ascii="Times New Roman" w:cs="Times New Roman" w:eastAsia="Times New Roman" w:hAnsi="Times New Roman"/>
          <w:sz w:val="24"/>
          <w:szCs w:val="24"/>
        </w:rPr>
        <w:t xml:space="preserve">824</w:t>
      </w:r>
      <w:r>
        <w:rPr>
          <w:rFonts w:ascii="David" w:cs="David" w:eastAsia="David" w:hAnsi="David"/>
          <w:sz w:val="24"/>
          <w:szCs w:val="24"/>
          <w:rtl/>
        </w:rPr>
        <w:t xml:space="preserve"> אסירים גברים שלושה שבועות ושלושה חודשים לאחר קליטתם, ומצאו שתפיסה של יחס הוגן מצד הסוהרים בזמן הראשון ניבאה פחות בעיות נפשיות בזמן השני. באוסטרליה הראו סרג'נט ואחרים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שצדק פרוצדורלי קשור לרווחה נפשית גבוהה יותר לאורך זמן, ושהקשר עובר בחלקו דרך איכות היחסים עם הסגל, ואילו תחושת הביטחון בבית הסוהר לא ניבאה רווחה לאורך זמן. גם בבתי מעצר בארצות הברית נמצא שתפיסה גבוהה של צדק פרוצדורלי קשורה לפחות מחשבות אובדניות </w:t>
      </w:r>
      <w:r>
        <w:rPr>
          <w:rFonts w:ascii="Times New Roman" w:cs="Times New Roman" w:eastAsia="Times New Roman" w:hAnsi="Times New Roman"/>
          <w:sz w:val="24"/>
          <w:szCs w:val="24"/>
        </w:rPr>
        <w:t xml:space="preserve">(Abderhalden &amp; Alward, 2024)</w:t>
      </w:r>
      <w:r>
        <w:rPr>
          <w:rFonts w:ascii="David" w:cs="David" w:eastAsia="David" w:hAnsi="David"/>
          <w:sz w:val="24"/>
          <w:szCs w:val="24"/>
          <w:rtl/>
        </w:rPr>
        <w:t xml:space="preserve">. כיוון ההשפעה במחקרים אלו הוא מיחס הסגל אל הרווחה. המחקר הנוכחי בוחן את הכיוון ההפוך, הרווחה הנפשית כמנבאת של תפיסת הסגל, ומכיוון שהוא מתאמי, אין בו כדי להכריע בין השניים אלא לבחון אם הקשר קיים בישראל ומה עוצמתו.</w:t>
      </w:r>
    </w:p>
    <w:p>
      <w:pPr>
        <w:pStyle w:val="Heading2"/>
        <w:keepNext/>
        <w:bidi/>
        <w:spacing w:after="120" w:before="240" w:line="360"/>
        <w:jc w:val="right"/>
      </w:pPr>
      <w:r>
        <w:rPr>
          <w:rFonts w:ascii="David" w:cs="David" w:eastAsia="David" w:hAnsi="David"/>
          <w:b/>
          <w:bCs/>
          <w:sz w:val="28"/>
          <w:szCs w:val="28"/>
          <w:rtl/>
        </w:rPr>
        <w:t xml:space="preserve">לגיטימיות של סגל הכליאה</w:t>
      </w:r>
    </w:p>
    <w:p>
      <w:pPr>
        <w:bidi/>
        <w:spacing w:after="120" w:line="360"/>
        <w:ind w:firstLine="567"/>
        <w:jc w:val="both"/>
      </w:pPr>
      <w:r>
        <w:rPr>
          <w:rFonts w:ascii="David" w:cs="David" w:eastAsia="David" w:hAnsi="David"/>
          <w:sz w:val="24"/>
          <w:szCs w:val="24"/>
          <w:rtl/>
        </w:rPr>
        <w:t xml:space="preserve">המודל המבוסס-תהליך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הוא הבסיס התאורטי של רוב מחקרי הלגיטימיות בכליאה. טיילר הראה, בתחילה ביחס למשטרה ולבתי המשפט, שאנשים מצייתים לחוק בעיקר משום שהם תופסים את הרשות כלגיטימית, ושהלגיטימיות נבנית דרך צדק פרוצדורלי: מתן קול, ניטרליות בקבלת החלטות, יחס מכבד ותחושה שהרשות פועלת בתום לב.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העבירו את המודל אל בית הסוהר וטענו שדווקא במקום שבו פערי הכוח קיצוניים, האופן שבו הסמכות מופעלת קובע אם היא תזכה לציות נורמטיבי או רק לציות אינסטרומנטלי מפחד.</w:t>
      </w:r>
    </w:p>
    <w:p>
      <w:pPr>
        <w:bidi/>
        <w:spacing w:after="120" w:line="360"/>
        <w:ind w:firstLine="567"/>
        <w:jc w:val="both"/>
      </w:pPr>
      <w:r>
        <w:rPr>
          <w:rFonts w:ascii="David" w:cs="David" w:eastAsia="David" w:hAnsi="David"/>
          <w:sz w:val="24"/>
          <w:szCs w:val="24"/>
          <w:rtl/>
        </w:rPr>
        <w:t xml:space="preserve">הממצא האמפירי הרחב ביותר בתחום מגיע מאנגליה ומוויילס.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ניתחו סקר של יותר מ</w:t>
      </w:r>
      <w:r>
        <w:rPr>
          <w:rFonts w:ascii="Times New Roman" w:cs="Times New Roman" w:eastAsia="Times New Roman" w:hAnsi="Times New Roman"/>
          <w:sz w:val="24"/>
          <w:szCs w:val="24"/>
        </w:rPr>
        <w:t xml:space="preserve">-3,000</w:t>
      </w:r>
      <w:r>
        <w:rPr>
          <w:rFonts w:ascii="David" w:cs="David" w:eastAsia="David" w:hAnsi="David"/>
          <w:sz w:val="24"/>
          <w:szCs w:val="24"/>
          <w:rtl/>
        </w:rPr>
        <w:t xml:space="preserve"> אסירים בניתוח רב-רמות ומצאו שההוגנות הפרוצדורלית היא המנבא החזק ביותר של לגיטימיות, ושקיימת שונות בלגיטימיות לפי מאפייני האסיר, לפי תנאי המחיה ובין בתי סוהר. בהולנד חיברו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נתוני </w:t>
      </w:r>
      <w:r>
        <w:rPr>
          <w:rFonts w:ascii="Times New Roman" w:cs="Times New Roman" w:eastAsia="Times New Roman" w:hAnsi="Times New Roman"/>
          <w:sz w:val="24"/>
          <w:szCs w:val="24"/>
        </w:rPr>
        <w:t xml:space="preserve">1,610</w:t>
      </w:r>
      <w:r>
        <w:rPr>
          <w:rFonts w:ascii="David" w:cs="David" w:eastAsia="David" w:hAnsi="David"/>
          <w:sz w:val="24"/>
          <w:szCs w:val="24"/>
          <w:rtl/>
        </w:rPr>
        <w:t xml:space="preserve"> אסירים לנתוני </w:t>
      </w:r>
      <w:r>
        <w:rPr>
          <w:rFonts w:ascii="Times New Roman" w:cs="Times New Roman" w:eastAsia="Times New Roman" w:hAnsi="Times New Roman"/>
          <w:sz w:val="24"/>
          <w:szCs w:val="24"/>
        </w:rPr>
        <w:t xml:space="preserve">690</w:t>
      </w:r>
      <w:r>
        <w:rPr>
          <w:rFonts w:ascii="David" w:cs="David" w:eastAsia="David" w:hAnsi="David"/>
          <w:sz w:val="24"/>
          <w:szCs w:val="24"/>
          <w:rtl/>
        </w:rPr>
        <w:t xml:space="preserve"> אנשי סגל, והראו שמאפייני הסגל ביחידה קשורים לתפיסת הצדק הפרוצדורלי של האסירים מעבר למאפייני האסירים עצמם. בסלובניה,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ערכו ראיונות מובנים עם </w:t>
      </w:r>
      <w:r>
        <w:rPr>
          <w:rFonts w:ascii="Times New Roman" w:cs="Times New Roman" w:eastAsia="Times New Roman" w:hAnsi="Times New Roman"/>
          <w:sz w:val="24"/>
          <w:szCs w:val="24"/>
        </w:rPr>
        <w:t xml:space="preserve">193</w:t>
      </w:r>
      <w:r>
        <w:rPr>
          <w:rFonts w:ascii="David" w:cs="David" w:eastAsia="David" w:hAnsi="David"/>
          <w:sz w:val="24"/>
          <w:szCs w:val="24"/>
          <w:rtl/>
        </w:rPr>
        <w:t xml:space="preserve"> אסירים ומצאו שיותר ממחצית המרואיינים לא נתנו אמון בסגל, ושחלק ניכר מהציות שתיארו נבע מפחד מסנקציות ולא מהכרה בלגיטימיות.</w:t>
      </w:r>
    </w:p>
    <w:p>
      <w:pPr>
        <w:bidi/>
        <w:spacing w:after="120" w:line="360"/>
        <w:ind w:firstLine="567"/>
        <w:jc w:val="both"/>
      </w:pPr>
      <w:r>
        <w:rPr>
          <w:rFonts w:ascii="David" w:cs="David" w:eastAsia="David" w:hAnsi="David"/>
          <w:sz w:val="24"/>
          <w:szCs w:val="24"/>
          <w:rtl/>
        </w:rPr>
        <w:t xml:space="preserve">שני ממצאים נוספים חשובים למחקר הנוכחי.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הראו בניסוי אקראי שתפיסת הלגיטימיות משתנה במהלך המאסר: בית הסוהר הרגיל פגע בה, ומה שהסביר את הפגיעה היה ריבוי חוויות שליליות ודלות סביבתית. מכאן שהזמן שאדם שוהה במוסד אינו ניטרלי, ושהמרכיבים המעצבים את הרווחה הנפשית הם גם המרכיבים המעצבים את הלגיטימיות. ון הול ואחרים </w:t>
      </w:r>
      <w:r>
        <w:rPr>
          <w:rFonts w:ascii="Times New Roman" w:cs="Times New Roman" w:eastAsia="Times New Roman" w:hAnsi="Times New Roman"/>
          <w:sz w:val="24"/>
          <w:szCs w:val="24"/>
        </w:rPr>
        <w:t xml:space="preserve">(van Hall et al., 2025)</w:t>
      </w:r>
      <w:r>
        <w:rPr>
          <w:rFonts w:ascii="David" w:cs="David" w:eastAsia="David" w:hAnsi="David"/>
          <w:sz w:val="24"/>
          <w:szCs w:val="24"/>
          <w:rtl/>
        </w:rPr>
        <w:t xml:space="preserve"> הוסיפו שהלגיטימיות שנבנית בבית הסוהר "נשפכת" החוצה: אסירים שחשו שהסגל נהג בהם בהוגנות תפסו גם את קצין המבחן שלהם כהוגן יותר, וסיכוייהם להיות מורשעים שוב בתוך שנה היו נמוכים יותר. סקירת ההיקף של ראיין וברגין </w:t>
      </w:r>
      <w:r>
        <w:rPr>
          <w:rFonts w:ascii="Times New Roman" w:cs="Times New Roman" w:eastAsia="Times New Roman" w:hAnsi="Times New Roman"/>
          <w:sz w:val="24"/>
          <w:szCs w:val="24"/>
        </w:rPr>
        <w:t xml:space="preserve">(Ryan &amp; Bergin, 2022)</w:t>
      </w:r>
      <w:r>
        <w:rPr>
          <w:rFonts w:ascii="David" w:cs="David" w:eastAsia="David" w:hAnsi="David"/>
          <w:sz w:val="24"/>
          <w:szCs w:val="24"/>
          <w:rtl/>
        </w:rPr>
        <w:t xml:space="preserve"> סיכמה את הספרות סביב שני צירים, מה מעצב את הלגיטימיות וכיצד היא קשורה לציות, והצביעה על כך שרוב המחקרים נערכו במדינות מערביות מעטות.</w:t>
      </w:r>
    </w:p>
    <w:p>
      <w:pPr>
        <w:bidi/>
        <w:spacing w:after="120" w:line="360"/>
        <w:ind w:firstLine="567"/>
        <w:jc w:val="both"/>
      </w:pPr>
      <w:r>
        <w:rPr>
          <w:rFonts w:ascii="David" w:cs="David" w:eastAsia="David" w:hAnsi="David"/>
          <w:sz w:val="24"/>
          <w:szCs w:val="24"/>
          <w:rtl/>
        </w:rPr>
        <w:t xml:space="preserve">בישראל, המחקר של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הוא הראשון שבחן לגיטימיות בקרב כלואים פליליים בהיקף רחב. הוא מצא ממוצע לגיטימיות גבוה יחסית (</w:t>
      </w:r>
      <w:r>
        <w:rPr>
          <w:rFonts w:ascii="Times New Roman" w:cs="Times New Roman" w:eastAsia="Times New Roman" w:hAnsi="Times New Roman"/>
          <w:sz w:val="24"/>
          <w:szCs w:val="24"/>
        </w:rPr>
        <w:t xml:space="preserve">4.23</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ללא הבדל בין יהודים ללא יהודים ובין גברים לנשים, אך עם לגיטימיות גבוהה יותר בקרב שפוטים לעומת עצורים. הלגיטימיות נמצאה כמשתנה הממתן את הקשר בין תנאי המחיה לשביעות הרצון מפעילויות השיקום: ככל שהלגיטימיות גבוהה יותר, הקשר חזק יותר. המחבר הציע לראות בלגיטימיות כלי ניהולי באגף הפלילי, אך לא בחן את הקשר הישיר בינה לבין הרווחה הנפשית. לאור המחקרים שהוזכרו, שאלת המחקר של העבודה הנוכחית היא באיזו מידה קיים קשר בין רווחה נפשית לבין תפיסת הלגיטימיות של סגל הכליאה בקרב אסירים שפוטים בלבד.</w:t>
      </w:r>
    </w:p>
    <w:p>
      <w:pPr>
        <w:pStyle w:val="Heading1"/>
        <w:pageBreakBefore/>
        <w:bidi/>
        <w:spacing w:after="240" w:before="0" w:line="360"/>
        <w:jc w:val="right"/>
      </w:pPr>
      <w:r>
        <w:rPr>
          <w:rFonts w:ascii="David" w:cs="David" w:eastAsia="David" w:hAnsi="David"/>
          <w:b/>
          <w:bCs/>
          <w:sz w:val="32"/>
          <w:szCs w:val="32"/>
          <w:rtl/>
        </w:rPr>
        <w:t xml:space="preserve">שאלת המחקר והשערת המחקר</w:t>
      </w:r>
    </w:p>
    <w:p>
      <w:pPr>
        <w:bidi/>
        <w:spacing w:after="120" w:line="360"/>
        <w:jc w:val="both"/>
      </w:pPr>
      <w:r>
        <w:rPr>
          <w:rFonts w:ascii="David" w:cs="David" w:eastAsia="David" w:hAnsi="David"/>
          <w:sz w:val="24"/>
          <w:szCs w:val="24"/>
          <w:rtl/>
        </w:rPr>
        <w:t xml:space="preserve">שאלת המחקר: באיזו מידה קיים קשר בין רווחה נפשית לבין תפיסת הלגיטימיות של סגל הכליאה בקרב אסירים שפוטים בלבד?</w:t>
      </w:r>
    </w:p>
    <w:p>
      <w:pPr>
        <w:bidi/>
        <w:spacing w:after="120" w:line="360"/>
        <w:jc w:val="both"/>
      </w:pPr>
      <w:r>
        <w:rPr>
          <w:rFonts w:ascii="David" w:cs="David" w:eastAsia="David" w:hAnsi="David"/>
          <w:sz w:val="24"/>
          <w:szCs w:val="24"/>
          <w:rtl/>
        </w:rPr>
        <w:t xml:space="preserve">משתנה תלוי: תפיסת הלגיטימיות של סגל הכליאה. משתנה בלתי תלוי: רווחה נפשית. אוכלוסיית המחקר מתוארת לפי מגדר, גיל, לאום, מספר מאסרים וותק באגף.</w:t>
      </w:r>
    </w:p>
    <w:p>
      <w:pPr>
        <w:bidi/>
        <w:spacing w:after="120" w:line="360"/>
        <w:jc w:val="both"/>
      </w:pPr>
      <w:r>
        <w:rPr>
          <w:rFonts w:ascii="David" w:cs="David" w:eastAsia="David" w:hAnsi="David"/>
          <w:sz w:val="24"/>
          <w:szCs w:val="24"/>
          <w:rtl/>
        </w:rPr>
        <w:t xml:space="preserve">השערת המחקר: יימצא קשר חיובי מובהק בין רווחה נפשית לבין תפיסת הלגיטימיות של הסגל, כך שככל שהרווחה הנפשית גבוהה יותר, הלגיטימיות המיוחסת לסגל גבוהה יותר, ולהפך. ההשערה נשענת על הקשר שנמצא בין יחס הסגל למצוקה נפשית </w:t>
      </w:r>
      <w:r>
        <w:rPr>
          <w:rFonts w:ascii="Times New Roman" w:cs="Times New Roman" w:eastAsia="Times New Roman" w:hAnsi="Times New Roman"/>
          <w:sz w:val="24"/>
          <w:szCs w:val="24"/>
        </w:rPr>
        <w:t xml:space="preserve">(Beijersbergen et al., 2014; Sargeant et al., 2026)</w:t>
      </w:r>
      <w:r>
        <w:rPr>
          <w:rFonts w:ascii="David" w:cs="David" w:eastAsia="David" w:hAnsi="David"/>
          <w:sz w:val="24"/>
          <w:szCs w:val="24"/>
          <w:rtl/>
        </w:rPr>
        <w:t xml:space="preserve"> ועל הקשר בין דלות סביבתית לירידה בלגיטימיות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w:t>
      </w:r>
    </w:p>
    <w:p>
      <w:pPr>
        <w:pStyle w:val="Heading1"/>
        <w:pageBreakBefore/>
        <w:bidi/>
        <w:spacing w:after="240" w:before="0" w:line="360"/>
        <w:jc w:val="right"/>
      </w:pPr>
      <w:r>
        <w:rPr>
          <w:rFonts w:ascii="David" w:cs="David" w:eastAsia="David" w:hAnsi="David"/>
          <w:b/>
          <w:bCs/>
          <w:sz w:val="32"/>
          <w:szCs w:val="32"/>
          <w:rtl/>
        </w:rPr>
        <w:t xml:space="preserve">שיטת המחקר</w:t>
      </w:r>
    </w:p>
    <w:p>
      <w:pPr>
        <w:bidi/>
        <w:spacing w:after="120" w:line="360"/>
        <w:ind w:firstLine="567"/>
        <w:jc w:val="both"/>
      </w:pPr>
      <w:r>
        <w:rPr>
          <w:rFonts w:ascii="David" w:cs="David" w:eastAsia="David" w:hAnsi="David"/>
          <w:sz w:val="24"/>
          <w:szCs w:val="24"/>
          <w:rtl/>
        </w:rPr>
        <w:t xml:space="preserve">המחקר הוא מחקר כמותי מתאמי במערך חתך, המבוסס על ניתוח משני של נתונים סינתטיים. נתונים סינתטיים נוצרים על ידי מודל סטטיסטי שלמד את ההתפלגויות, את דפוסי אי-ההשבה, את מהימנויות הסולמות ואת הקשרים בין המשתנים בקובץ המקורי, ומייצר משיבים חדשים שאף אחד מהם אינו אסיר אמיתי. השיטה נדרשת משום שסקרי אסירים מכילים מידע רגיש שאינו ניתן למסירה לחוקרים חיצוניים. ניתוח של קובץ כזה צפוי להתנהג כמו ניתוח של הסקר האמיתי, אך 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ולכן כל תוצאה בעבודה זו היא תכונה של הקובץ הסינתטי ולא ממצא על אסירים אמיתיים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הקובץ המקורי הוא סקר תנאי המחיה שנערך באגפים הפליליים של שירות בתי הסוהר בין </w:t>
      </w:r>
      <w:r>
        <w:rPr>
          <w:rFonts w:ascii="Times New Roman" w:cs="Times New Roman" w:eastAsia="Times New Roman" w:hAnsi="Times New Roman"/>
          <w:sz w:val="24"/>
          <w:szCs w:val="24"/>
        </w:rPr>
        <w:t xml:space="preserve">17</w:t>
      </w:r>
      <w:r>
        <w:rPr>
          <w:rFonts w:ascii="David" w:cs="David" w:eastAsia="David" w:hAnsi="David"/>
          <w:sz w:val="24"/>
          <w:szCs w:val="24"/>
          <w:rtl/>
        </w:rPr>
        <w:t xml:space="preserve"> באוקטובר ל</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בנובמבר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בסקר המקורי השתתפו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כלואים פליליים בגירים,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שהם </w:t>
      </w:r>
      <w:r>
        <w:rPr>
          <w:rFonts w:ascii="Times New Roman" w:cs="Times New Roman" w:eastAsia="Times New Roman" w:hAnsi="Times New Roman"/>
          <w:sz w:val="24"/>
          <w:szCs w:val="24"/>
        </w:rPr>
        <w:t xml:space="preserve">41</w:t>
      </w:r>
      <w:r>
        <w:rPr>
          <w:rFonts w:ascii="David" w:cs="David" w:eastAsia="David" w:hAnsi="David"/>
          <w:sz w:val="24"/>
          <w:szCs w:val="24"/>
          <w:rtl/>
        </w:rPr>
        <w:t xml:space="preserve"> אחוזים מכל הכלואים שהיו במצבת האסירים הפעילה באותה עת. השאלונים הועברו על ידי </w:t>
      </w:r>
      <w:r>
        <w:rPr>
          <w:rFonts w:ascii="Times New Roman" w:cs="Times New Roman" w:eastAsia="Times New Roman" w:hAnsi="Times New Roman"/>
          <w:sz w:val="24"/>
          <w:szCs w:val="24"/>
        </w:rPr>
        <w:t xml:space="preserve">196</w:t>
      </w:r>
      <w:r>
        <w:rPr>
          <w:rFonts w:ascii="David" w:cs="David" w:eastAsia="David" w:hAnsi="David"/>
          <w:sz w:val="24"/>
          <w:szCs w:val="24"/>
          <w:rtl/>
        </w:rPr>
        <w:t xml:space="preserve"> מנהלי אגפים וקציני חינוך, ההשתתפות הייתה אנונימית ורצונית, והמחקר אושר על ידי ועדת האתיקה של שירות בתי הסוהר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הקובץ הסינתטי כולל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שורות, מהן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-1,411</w:t>
      </w:r>
      <w:r>
        <w:rPr>
          <w:rFonts w:ascii="David" w:cs="David" w:eastAsia="David" w:hAnsi="David"/>
          <w:sz w:val="24"/>
          <w:szCs w:val="24"/>
          <w:rtl/>
        </w:rPr>
        <w:t xml:space="preserve"> עצורים; הפער הקטן מהמספרים שפורסמו נובע מתהליך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כולל את השפוטים בלבד </w:t>
      </w:r>
      <w:r>
        <w:rPr>
          <w:rFonts w:ascii="Times New Roman" w:cs="Times New Roman" w:eastAsia="Times New Roman" w:hAnsi="Times New Roman"/>
          <w:sz w:val="24"/>
          <w:szCs w:val="24"/>
        </w:rPr>
        <w:t xml:space="preserve">(N = 2,379)</w:t>
      </w:r>
      <w:r>
        <w:rPr>
          <w:rFonts w:ascii="David" w:cs="David" w:eastAsia="David" w:hAnsi="David"/>
          <w:sz w:val="24"/>
          <w:szCs w:val="24"/>
          <w:rtl/>
        </w:rPr>
        <w:t xml:space="preserve">. רובם המכריע גברים (</w:t>
      </w:r>
      <w:r>
        <w:rPr>
          <w:rFonts w:ascii="Times New Roman" w:cs="Times New Roman" w:eastAsia="Times New Roman" w:hAnsi="Times New Roman"/>
          <w:sz w:val="24"/>
          <w:szCs w:val="24"/>
        </w:rPr>
        <w:t xml:space="preserve">2,302,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96.8</w:t>
      </w:r>
      <w:r>
        <w:rPr>
          <w:rFonts w:ascii="David" w:cs="David" w:eastAsia="David" w:hAnsi="David"/>
          <w:sz w:val="24"/>
          <w:szCs w:val="24"/>
          <w:rtl/>
        </w:rPr>
        <w:t xml:space="preserve"> אחוזים) ומיעוטם נשים (</w:t>
      </w:r>
      <w:r>
        <w:rPr>
          <w:rFonts w:ascii="Times New Roman" w:cs="Times New Roman" w:eastAsia="Times New Roman" w:hAnsi="Times New Roman"/>
          <w:sz w:val="24"/>
          <w:szCs w:val="24"/>
        </w:rPr>
        <w:t xml:space="preserve">77,</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3.2</w:t>
      </w:r>
      <w:r>
        <w:rPr>
          <w:rFonts w:ascii="David" w:cs="David" w:eastAsia="David" w:hAnsi="David"/>
          <w:sz w:val="24"/>
          <w:szCs w:val="24"/>
          <w:rtl/>
        </w:rPr>
        <w:t xml:space="preserve"> אחוזים). הגיל הממוצע </w:t>
      </w:r>
      <w:r>
        <w:rPr>
          <w:rFonts w:ascii="Times New Roman" w:cs="Times New Roman" w:eastAsia="Times New Roman" w:hAnsi="Times New Roman"/>
          <w:sz w:val="24"/>
          <w:szCs w:val="24"/>
        </w:rPr>
        <w:t xml:space="preserve">37.9</w:t>
      </w:r>
      <w:r>
        <w:rPr>
          <w:rFonts w:ascii="David" w:cs="David" w:eastAsia="David" w:hAnsi="David"/>
          <w:sz w:val="24"/>
          <w:szCs w:val="24"/>
          <w:rtl/>
        </w:rPr>
        <w:t xml:space="preserve"> שנים (סטיית תקן </w:t>
      </w:r>
      <w:r>
        <w:rPr>
          <w:rFonts w:ascii="Times New Roman" w:cs="Times New Roman" w:eastAsia="Times New Roman" w:hAnsi="Times New Roman"/>
          <w:sz w:val="24"/>
          <w:szCs w:val="24"/>
        </w:rPr>
        <w:t xml:space="preserve">12.0</w:t>
      </w:r>
      <w:r>
        <w:rPr>
          <w:rFonts w:ascii="David" w:cs="David" w:eastAsia="David" w:hAnsi="David"/>
          <w:sz w:val="24"/>
          <w:szCs w:val="24"/>
          <w:rtl/>
        </w:rPr>
        <w:t xml:space="preserve">), בטווח של </w:t>
      </w:r>
      <w:r>
        <w:rPr>
          <w:rFonts w:ascii="Times New Roman" w:cs="Times New Roman" w:eastAsia="Times New Roman" w:hAnsi="Times New Roman"/>
          <w:sz w:val="24"/>
          <w:szCs w:val="24"/>
        </w:rPr>
        <w:t xml:space="preserve">18</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82.</w:t>
      </w:r>
      <w:r>
        <w:rPr>
          <w:rFonts w:ascii="David" w:cs="David" w:eastAsia="David" w:hAnsi="David"/>
          <w:sz w:val="24"/>
          <w:szCs w:val="24"/>
          <w:rtl/>
        </w:rPr>
        <w:t xml:space="preserve"> מעט יותר ממחצית (</w:t>
      </w:r>
      <w:r>
        <w:rPr>
          <w:rFonts w:ascii="Times New Roman" w:cs="Times New Roman" w:eastAsia="Times New Roman" w:hAnsi="Times New Roman"/>
          <w:sz w:val="24"/>
          <w:szCs w:val="24"/>
        </w:rPr>
        <w:t xml:space="preserve">1,243,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52.2</w:t>
      </w:r>
      <w:r>
        <w:rPr>
          <w:rFonts w:ascii="David" w:cs="David" w:eastAsia="David" w:hAnsi="David"/>
          <w:sz w:val="24"/>
          <w:szCs w:val="24"/>
          <w:rtl/>
        </w:rPr>
        <w:t xml:space="preserve"> אחוזים) לא יהודים ו</w:t>
      </w:r>
      <w:r>
        <w:rPr>
          <w:rFonts w:ascii="Times New Roman" w:cs="Times New Roman" w:eastAsia="Times New Roman" w:hAnsi="Times New Roman"/>
          <w:sz w:val="24"/>
          <w:szCs w:val="24"/>
        </w:rPr>
        <w:t xml:space="preserve">-1,136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47.8</w:t>
      </w:r>
      <w:r>
        <w:rPr>
          <w:rFonts w:ascii="David" w:cs="David" w:eastAsia="David" w:hAnsi="David"/>
          <w:sz w:val="24"/>
          <w:szCs w:val="24"/>
          <w:rtl/>
        </w:rPr>
        <w:t xml:space="preserve"> אחוזים) יהודים. עבור </w:t>
      </w:r>
      <w:r>
        <w:rPr>
          <w:rFonts w:ascii="Times New Roman" w:cs="Times New Roman" w:eastAsia="Times New Roman" w:hAnsi="Times New Roman"/>
          <w:sz w:val="24"/>
          <w:szCs w:val="24"/>
        </w:rPr>
        <w:t xml:space="preserve">1,162</w:t>
      </w:r>
      <w:r>
        <w:rPr>
          <w:rFonts w:ascii="David" w:cs="David" w:eastAsia="David" w:hAnsi="David"/>
          <w:sz w:val="24"/>
          <w:szCs w:val="24"/>
          <w:rtl/>
        </w:rPr>
        <w:t xml:space="preserve"> מהשפוטים (</w:t>
      </w:r>
      <w:r>
        <w:rPr>
          <w:rFonts w:ascii="Times New Roman" w:cs="Times New Roman" w:eastAsia="Times New Roman" w:hAnsi="Times New Roman"/>
          <w:sz w:val="24"/>
          <w:szCs w:val="24"/>
        </w:rPr>
        <w:t xml:space="preserve">48.8</w:t>
      </w:r>
      <w:r>
        <w:rPr>
          <w:rFonts w:ascii="David" w:cs="David" w:eastAsia="David" w:hAnsi="David"/>
          <w:sz w:val="24"/>
          <w:szCs w:val="24"/>
          <w:rtl/>
        </w:rPr>
        <w:t xml:space="preserve"> אחוזים) זהו המאסר הראשון, </w:t>
      </w:r>
      <w:r>
        <w:rPr>
          <w:rFonts w:ascii="Times New Roman" w:cs="Times New Roman" w:eastAsia="Times New Roman" w:hAnsi="Times New Roman"/>
          <w:sz w:val="24"/>
          <w:szCs w:val="24"/>
        </w:rPr>
        <w:t xml:space="preserve">528</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22.2</w:t>
      </w:r>
      <w:r>
        <w:rPr>
          <w:rFonts w:ascii="David" w:cs="David" w:eastAsia="David" w:hAnsi="David"/>
          <w:sz w:val="24"/>
          <w:szCs w:val="24"/>
          <w:rtl/>
        </w:rPr>
        <w:t xml:space="preserve"> אחוזים) במאסרם השני ו</w:t>
      </w:r>
      <w:r>
        <w:rPr>
          <w:rFonts w:ascii="Times New Roman" w:cs="Times New Roman" w:eastAsia="Times New Roman" w:hAnsi="Times New Roman"/>
          <w:sz w:val="24"/>
          <w:szCs w:val="24"/>
        </w:rPr>
        <w:t xml:space="preserve">-689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29.0</w:t>
      </w:r>
      <w:r>
        <w:rPr>
          <w:rFonts w:ascii="David" w:cs="David" w:eastAsia="David" w:hAnsi="David"/>
          <w:sz w:val="24"/>
          <w:szCs w:val="24"/>
          <w:rtl/>
        </w:rPr>
        <w:t xml:space="preserve"> אחוזים) במאסר שלישי ומעלה. רוב השפוטים (</w:t>
      </w:r>
      <w:r>
        <w:rPr>
          <w:rFonts w:ascii="Times New Roman" w:cs="Times New Roman" w:eastAsia="Times New Roman" w:hAnsi="Times New Roman"/>
          <w:sz w:val="24"/>
          <w:szCs w:val="24"/>
        </w:rPr>
        <w:t xml:space="preserve">1,624,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68.3</w:t>
      </w:r>
      <w:r>
        <w:rPr>
          <w:rFonts w:ascii="David" w:cs="David" w:eastAsia="David" w:hAnsi="David"/>
          <w:sz w:val="24"/>
          <w:szCs w:val="24"/>
          <w:rtl/>
        </w:rPr>
        <w:t xml:space="preserve"> אחוזים) שוהים באגף הנוכחי יותר משלושה חודשים, </w:t>
      </w:r>
      <w:r>
        <w:rPr>
          <w:rFonts w:ascii="Times New Roman" w:cs="Times New Roman" w:eastAsia="Times New Roman" w:hAnsi="Times New Roman"/>
          <w:sz w:val="24"/>
          <w:szCs w:val="24"/>
        </w:rPr>
        <w:t xml:space="preserve">480</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20.2</w:t>
      </w:r>
      <w:r>
        <w:rPr>
          <w:rFonts w:ascii="David" w:cs="David" w:eastAsia="David" w:hAnsi="David"/>
          <w:sz w:val="24"/>
          <w:szCs w:val="24"/>
          <w:rtl/>
        </w:rPr>
        <w:t xml:space="preserve"> אחוזים) בין חודש לשלושה חודשים, </w:t>
      </w:r>
      <w:r>
        <w:rPr>
          <w:rFonts w:ascii="Times New Roman" w:cs="Times New Roman" w:eastAsia="Times New Roman" w:hAnsi="Times New Roman"/>
          <w:sz w:val="24"/>
          <w:szCs w:val="24"/>
        </w:rPr>
        <w:t xml:space="preserve">219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9.2</w:t>
      </w:r>
      <w:r>
        <w:rPr>
          <w:rFonts w:ascii="David" w:cs="David" w:eastAsia="David" w:hAnsi="David"/>
          <w:sz w:val="24"/>
          <w:szCs w:val="24"/>
          <w:rtl/>
        </w:rPr>
        <w:t xml:space="preserve"> אחוזים) בין שבוע לחודש ו</w:t>
      </w:r>
      <w:r>
        <w:rPr>
          <w:rFonts w:ascii="Times New Roman" w:cs="Times New Roman" w:eastAsia="Times New Roman" w:hAnsi="Times New Roman"/>
          <w:sz w:val="24"/>
          <w:szCs w:val="24"/>
        </w:rPr>
        <w:t xml:space="preserve">-56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אחוזים) פחות משבוע. </w:t>
      </w:r>
      <w:r>
        <w:rPr>
          <w:rFonts w:ascii="Times New Roman" w:cs="Times New Roman" w:eastAsia="Times New Roman" w:hAnsi="Times New Roman"/>
          <w:sz w:val="24"/>
          <w:szCs w:val="24"/>
        </w:rPr>
        <w:t xml:space="preserve">486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20.4</w:t>
      </w:r>
      <w:r>
        <w:rPr>
          <w:rFonts w:ascii="David" w:cs="David" w:eastAsia="David" w:hAnsi="David"/>
          <w:sz w:val="24"/>
          <w:szCs w:val="24"/>
          <w:rtl/>
        </w:rPr>
        <w:t xml:space="preserve"> אחוזים) נמצאים במסלול שיקום. ההתפלגות המלאה מובאת בלוח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בפרק הממצאים.</w:t>
      </w:r>
    </w:p>
    <w:p>
      <w:pPr>
        <w:pStyle w:val="Heading2"/>
        <w:keepNext/>
        <w:bidi/>
        <w:spacing w:after="120" w:before="240" w:line="360"/>
        <w:jc w:val="right"/>
      </w:pPr>
      <w:r>
        <w:rPr>
          <w:rFonts w:ascii="David" w:cs="David" w:eastAsia="David" w:hAnsi="David"/>
          <w:b/>
          <w:bCs/>
          <w:sz w:val="28"/>
          <w:szCs w:val="28"/>
          <w:rtl/>
        </w:rPr>
        <w:t xml:space="preserve">כלי המחקר</w:t>
      </w:r>
    </w:p>
    <w:p>
      <w:pPr>
        <w:bidi/>
        <w:spacing w:after="120" w:line="360"/>
        <w:ind w:firstLine="567"/>
        <w:jc w:val="both"/>
      </w:pPr>
      <w:r>
        <w:rPr>
          <w:rFonts w:ascii="David" w:cs="David" w:eastAsia="David" w:hAnsi="David"/>
          <w:sz w:val="24"/>
          <w:szCs w:val="24"/>
          <w:rtl/>
        </w:rPr>
        <w:t xml:space="preserve">כלי המחקר הוא שאלון הדיווח העצמי של סקר תנאי המחיה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השאלון נבנה על בסיס שאלון "החיים במשמורת" </w:t>
      </w:r>
      <w:r>
        <w:rPr>
          <w:rFonts w:ascii="Times New Roman" w:cs="Times New Roman" w:eastAsia="Times New Roman" w:hAnsi="Times New Roman"/>
          <w:sz w:val="24"/>
          <w:szCs w:val="24"/>
        </w:rPr>
        <w:t xml:space="preserve">(Life in Custody)</w:t>
      </w:r>
      <w:r>
        <w:rPr>
          <w:rFonts w:ascii="David" w:cs="David" w:eastAsia="David" w:hAnsi="David"/>
          <w:sz w:val="24"/>
          <w:szCs w:val="24"/>
          <w:rtl/>
        </w:rPr>
        <w:t xml:space="preserve"> ההולנדי, שפותח ונבדק בבתי הסוהר בהולנד וכולל </w:t>
      </w:r>
      <w:r>
        <w:rPr>
          <w:rFonts w:ascii="Times New Roman" w:cs="Times New Roman" w:eastAsia="Times New Roman" w:hAnsi="Times New Roman"/>
          <w:sz w:val="24"/>
          <w:szCs w:val="24"/>
        </w:rPr>
        <w:t xml:space="preserve">136</w:t>
      </w:r>
      <w:r>
        <w:rPr>
          <w:rFonts w:ascii="David" w:cs="David" w:eastAsia="David" w:hAnsi="David"/>
          <w:sz w:val="24"/>
          <w:szCs w:val="24"/>
          <w:rtl/>
        </w:rPr>
        <w:t xml:space="preserve"> פריטים ב</w:t>
      </w:r>
      <w:r>
        <w:rPr>
          <w:rFonts w:ascii="Times New Roman" w:cs="Times New Roman" w:eastAsia="Times New Roman" w:hAnsi="Times New Roman"/>
          <w:sz w:val="24"/>
          <w:szCs w:val="24"/>
        </w:rPr>
        <w:t xml:space="preserve">-21</w:t>
      </w:r>
      <w:r>
        <w:rPr>
          <w:rFonts w:ascii="David" w:cs="David" w:eastAsia="David" w:hAnsi="David"/>
          <w:sz w:val="24"/>
          <w:szCs w:val="24"/>
          <w:rtl/>
        </w:rPr>
        <w:t xml:space="preserve"> נושאים, עם מהימנויות של </w:t>
      </w:r>
      <w:r>
        <w:rPr>
          <w:rFonts w:ascii="Times New Roman" w:cs="Times New Roman" w:eastAsia="Times New Roman" w:hAnsi="Times New Roman"/>
          <w:sz w:val="24"/>
          <w:szCs w:val="24"/>
        </w:rPr>
        <w:t xml:space="preserve">0.78</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0.90</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לצורך הסקר הישראלי נבחרו </w:t>
      </w:r>
      <w:r>
        <w:rPr>
          <w:rFonts w:ascii="Times New Roman" w:cs="Times New Roman" w:eastAsia="Times New Roman" w:hAnsi="Times New Roman"/>
          <w:sz w:val="24"/>
          <w:szCs w:val="24"/>
        </w:rPr>
        <w:t xml:space="preserve">39</w:t>
      </w:r>
      <w:r>
        <w:rPr>
          <w:rFonts w:ascii="David" w:cs="David" w:eastAsia="David" w:hAnsi="David"/>
          <w:sz w:val="24"/>
          <w:szCs w:val="24"/>
          <w:rtl/>
        </w:rPr>
        <w:t xml:space="preserve"> פריטים בתשעה נושאים, השאלות תורגמו לאנגלית ותורגמו בחזרה לעברית כדי לבדוק את תוקף התרגום, והוספו שאלות המתאימות לשירות בתי הסוהר. כל הפריטים נמדדים בסולם ליקרט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(שביעות רצון או הסכמה נמוכה מאוד)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(גבוהה מאוד). מהימנויות תשעת הנושאים בסקר המקורי נעו בין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-0.91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משתמש בשניים מהנושאים ובמשתני רקע.</w:t>
      </w:r>
    </w:p>
    <w:p>
      <w:pPr>
        <w:bidi/>
        <w:spacing w:after="120" w:line="360"/>
        <w:ind w:firstLine="567"/>
        <w:jc w:val="both"/>
      </w:pPr>
      <w:r>
        <w:rPr>
          <w:rFonts w:ascii="David" w:cs="David" w:eastAsia="David" w:hAnsi="David"/>
          <w:sz w:val="24"/>
          <w:szCs w:val="24"/>
          <w:rtl/>
        </w:rPr>
        <w:t xml:space="preserve">לגיטימיות של הסגל. הסולם כולל שלושה פריטים: "אני יכול לדבר עם הסוהרים באגף אם אני מודאג או עצוב", "הסוהרים באגף מתייחסים אליי בכבוד" ו"אני מרוצה מהטיפול בבקשות שלי". שלושת הפריטים מבטאים שלושה מרכיבים של צדק פרוצדורלי במודל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נגישות ומתן קול, יחס מכבד, והוגנות בטיפול בבקשות. בסקר המקורי מהימנות הסולם הייתה </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שניים מהשלושה, וציון גבוה מבטא לגיטימיות גבוהה.</w:t>
      </w:r>
    </w:p>
    <w:p>
      <w:pPr>
        <w:bidi/>
        <w:spacing w:after="120" w:line="360"/>
        <w:ind w:firstLine="567"/>
        <w:jc w:val="both"/>
      </w:pPr>
      <w:r>
        <w:rPr>
          <w:rFonts w:ascii="David" w:cs="David" w:eastAsia="David" w:hAnsi="David"/>
          <w:sz w:val="24"/>
          <w:szCs w:val="24"/>
          <w:rtl/>
        </w:rPr>
        <w:t xml:space="preserve">רווחה נפשית. הסולם כולל חמישה פריטים: "באופן כללי, הבריאות שלי השתפרה מאז כניסתי למאסר", "הבריאות הגופנית שלי טובה", "הבריאות הנפשית שלי טובה", "עד כמה הרגשת שמח במהלך החודש האחרון" ו"עד כמה הרגשת מרוצה מהחיים בחודש האחרון". בסקר המקורי מהימנות הסולם הייתה </w:t>
      </w:r>
      <w:r>
        <w:rPr>
          <w:rFonts w:ascii="Times New Roman" w:cs="Times New Roman" w:eastAsia="Times New Roman" w:hAnsi="Times New Roman"/>
          <w:sz w:val="24"/>
          <w:szCs w:val="24"/>
        </w:rPr>
        <w:t xml:space="preserve">0.85</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0.82</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שלושה מהחמישה, וציון גבוה מבטא רווחה גבוהה. אין בסולם פריטים הפוכים.</w:t>
      </w:r>
    </w:p>
    <w:p>
      <w:pPr>
        <w:bidi/>
        <w:spacing w:after="120" w:line="360"/>
        <w:ind w:firstLine="567"/>
        <w:jc w:val="both"/>
      </w:pPr>
      <w:r>
        <w:rPr>
          <w:rFonts w:ascii="David" w:cs="David" w:eastAsia="David" w:hAnsi="David"/>
          <w:sz w:val="24"/>
          <w:szCs w:val="24"/>
          <w:rtl/>
        </w:rPr>
        <w:t xml:space="preserve">משתני רקע לתיאור האוכלוסייה. מגדר, גיל בשנים וקבוצת גיל, לאום בשתי קטגוריות (יהודים ולא יהודים), מספר המאסרים כשפוט בשלוש קטגוריות (מאסר ראשון, שני, שלישי ומעלה), ותק באגף בארבע קטגוריות והשתתפות במסלול שיקום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ניתוחים סטטיסטיים</w:t>
      </w:r>
    </w:p>
    <w:p>
      <w:pPr>
        <w:bidi/>
        <w:spacing w:after="120" w:line="360"/>
        <w:ind w:firstLine="567"/>
        <w:jc w:val="both"/>
      </w:pPr>
      <w:r>
        <w:rPr>
          <w:rFonts w:ascii="David" w:cs="David" w:eastAsia="David" w:hAnsi="David"/>
          <w:sz w:val="24"/>
          <w:szCs w:val="24"/>
          <w:rtl/>
        </w:rPr>
        <w:t xml:space="preserve">הנתונים נותחו בתוכנת </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בשלב הראשון סוננו השפוטים בלבד ונבדקה התפלגות סוג האסיר ומשתני הרקע של האוכלוסייה. בשלב השני חושבה סטטיסטיקה תיאורית לשמונת הפריטים ונבדקה מהימנות שני הסולמות באמצעות אלפא של קרונבך, ולאחר מכן חושבו ציוני הסולמות ונבדקו התפלגויותיהם, כולל מבחני נורמליות. בשלב השלישי חושב מתאם פירסון בין הרווחה הנפשית ללגיטימיות, ובשל ההתפלגות המוטה של הלגיטימיות חושב גם מתאם ספירמן, וכן מתאמים בין כל פריט לגיטימיות לבין הרווחה. לבסוף חולקו השפוטים לשלוש רמות לגיטימיות והושוו ממוצעי הרווחה הנפשית ביניהן. רמת המובהקות שנקבעה היא </w:t>
      </w:r>
      <w:r>
        <w:rPr>
          <w:rFonts w:ascii="Times New Roman" w:cs="Times New Roman" w:eastAsia="Times New Roman" w:hAnsi="Times New Roman"/>
          <w:sz w:val="24"/>
          <w:szCs w:val="24"/>
        </w:rPr>
        <w:t xml:space="preserve">p &lt; 0.05</w:t>
      </w:r>
      <w:r>
        <w:rPr>
          <w:rFonts w:ascii="David" w:cs="David" w:eastAsia="David" w:hAnsi="David"/>
          <w:sz w:val="24"/>
          <w:szCs w:val="24"/>
          <w:rtl/>
        </w:rPr>
        <w:t xml:space="preserve">. הפלטים המרכזיים מובאים בנספח.</w:t>
      </w:r>
    </w:p>
    <w:p>
      <w:pPr>
        <w:pStyle w:val="Heading1"/>
        <w:pageBreakBefore/>
        <w:bidi/>
        <w:spacing w:after="240" w:before="0" w:line="360"/>
        <w:jc w:val="right"/>
      </w:pPr>
      <w:r>
        <w:rPr>
          <w:rFonts w:ascii="David" w:cs="David" w:eastAsia="David" w:hAnsi="David"/>
          <w:b/>
          <w:bCs/>
          <w:sz w:val="32"/>
          <w:szCs w:val="32"/>
          <w:rtl/>
        </w:rPr>
        <w:t xml:space="preserve">ממצאים</w:t>
      </w:r>
    </w:p>
    <w:p>
      <w:pPr>
        <w:bidi/>
        <w:spacing w:after="120" w:line="360"/>
        <w:ind w:firstLine="567"/>
        <w:jc w:val="both"/>
      </w:pPr>
      <w:r>
        <w:rPr>
          <w:rFonts w:ascii="David" w:cs="David" w:eastAsia="David" w:hAnsi="David"/>
          <w:sz w:val="24"/>
          <w:szCs w:val="24"/>
          <w:rtl/>
        </w:rPr>
        <w:t xml:space="preserve">הפרק מציג את הממצאים בסדר הניתוחים: תיאור האוכלוסייה, סטטיסטיקה תיאורית של הפריטים, מהימנות הסולמות, ממוצעי הסולמות, ולבסוף המתאם בין רווחה נפשית ללגיטימיות והצגת הממצא. כל ניתוח מוצג בלוח ואחריו הסבר מילולי.</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מציג את התפלגות סוג האסיר בקובץ המלא, שממנו נגזרה אוכלוסיית המחקר.</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1</w:t>
      </w:r>
      <w:r>
        <w:rPr>
          <w:rFonts w:ascii="David" w:cs="David" w:eastAsia="David" w:hAnsi="David"/>
          <w:b/>
          <w:bCs/>
          <w:sz w:val="24"/>
          <w:szCs w:val="24"/>
          <w:rtl/>
        </w:rPr>
        <w:t xml:space="preserve">: התפלגות סוג האסיר בקובץ הסינתטי המלא</w:t>
      </w:r>
    </w:p>
    <w:tbl>
      <w:tblPr>
        <w:bidiVisual/>
        <w:tblW w:type="dxa" w:w="6400"/>
        <w:tblBorders>
          <w:top w:val="single" w:color="000000" w:sz="4"/>
          <w:left w:val="none" w:color="FFFFFF" w:sz="0"/>
          <w:bottom w:val="single" w:color="000000" w:sz="4"/>
          <w:right w:val="none" w:color="FFFFFF" w:sz="0"/>
          <w:insideH w:val="none" w:color="FFFFFF" w:sz="0"/>
          <w:insideV w:val="none" w:color="FFFFFF" w:sz="0"/>
        </w:tblBorders>
      </w:tblPr>
      <w:tblGrid>
        <w:gridCol w:w="3200"/>
        <w:gridCol w:w="1600"/>
        <w:gridCol w:w="1600"/>
      </w:tblGrid>
      <w:tr>
        <w:trPr>
          <w:cantSplit/>
          <w:tblHeader/>
        </w:trPr>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סוג האסיר</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37.2</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שפוטים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62.8</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סה"כ</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100.0</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עולה כי כמעט שני שלישים מהמשיבים הם שפוטים, בדומה לשיעור של </w:t>
      </w:r>
      <w:r>
        <w:rPr>
          <w:rFonts w:ascii="Times New Roman" w:cs="Times New Roman" w:eastAsia="Times New Roman" w:hAnsi="Times New Roman"/>
          <w:sz w:val="24"/>
          <w:szCs w:val="24"/>
        </w:rPr>
        <w:t xml:space="preserve">62.3</w:t>
      </w:r>
      <w:r>
        <w:rPr>
          <w:rFonts w:ascii="David" w:cs="David" w:eastAsia="David" w:hAnsi="David"/>
          <w:sz w:val="24"/>
          <w:szCs w:val="24"/>
          <w:rtl/>
        </w:rPr>
        <w:t xml:space="preserve"> אחוזים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כל הניתוחים מכאן ואילך נערכו על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השפוטים בלבד. 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מציג את מאפייני הרקע שלהם.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2</w:t>
      </w:r>
      <w:r>
        <w:rPr>
          <w:rFonts w:ascii="David" w:cs="David" w:eastAsia="David" w:hAnsi="David"/>
          <w:b/>
          <w:bCs/>
          <w:sz w:val="24"/>
          <w:szCs w:val="24"/>
          <w:rtl/>
        </w:rPr>
        <w:t xml:space="preserve">: מאפייני הרקע של השפוטים </w:t>
      </w:r>
      <w:r>
        <w:rPr>
          <w:rFonts w:ascii="Times New Roman" w:cs="Times New Roman" w:eastAsia="Times New Roman" w:hAnsi="Times New Roman"/>
          <w:b/>
          <w:bCs/>
          <w:sz w:val="24"/>
          <w:szCs w:val="24"/>
        </w:rPr>
        <w:t xml:space="preserve">(N = 2,379)</w:t>
      </w:r>
    </w:p>
    <w:tbl>
      <w:tblPr>
        <w:bidiVisual/>
        <w:tblW w:type="dxa" w:w="80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2800"/>
        <w:gridCol w:w="1300"/>
        <w:gridCol w:w="13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קטגוריה</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מגדר</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גברים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96.8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נשים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לאום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47.8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 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קבוצת גיל</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18</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28.7</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39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30.9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40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847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35.6</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60</w:t>
            </w:r>
            <w:r>
              <w:rPr>
                <w:rFonts w:ascii="David" w:cs="David" w:eastAsia="David" w:hAnsi="David"/>
                <w:b w:val="false"/>
                <w:bCs w:val="false"/>
                <w:sz w:val="22"/>
                <w:szCs w:val="22"/>
                <w:rtl/>
              </w:rPr>
              <w:t xml:space="preserve">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מספר מאסרים כשפוט</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מאסר ראשון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שני מאסרים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שלושה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29.0</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ותק באגף</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פחות משבוע</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שבוע עד חודש</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חודש עד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1,624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במסלול שיקום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כן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79.6</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ניתן ללמוד כי אוכלוסיית השפוטים היא בעיקרה גברים בגילי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59,</w:t>
      </w:r>
      <w:r>
        <w:rPr>
          <w:rFonts w:ascii="David" w:cs="David" w:eastAsia="David" w:hAnsi="David"/>
          <w:sz w:val="24"/>
          <w:szCs w:val="24"/>
          <w:rtl/>
        </w:rPr>
        <w:t xml:space="preserve"> מחולקת כמעט שווה בשווה בין יהודים ללא יהודים. כמחצית השפוטים במאסרם הראשון, ולמעלה ממחציתם ריצו מאסר קודם. יותר משני שלישים שוהים באגף הנוכחי מעל שלושה חודשים, וכאחד מכל חמישה נמצא במסלול שיקום. חלוקה זו דומה לזו שדווחה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סטטיסטיקה תיאורית של הפריטים</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מציג את הממוצעים, סטיות התקן ומדדי הצורה של שמונת הפריטים המרכיבים את שני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3</w:t>
      </w:r>
      <w:r>
        <w:rPr>
          <w:rFonts w:ascii="David" w:cs="David" w:eastAsia="David" w:hAnsi="David"/>
          <w:b/>
          <w:bCs/>
          <w:sz w:val="24"/>
          <w:szCs w:val="24"/>
          <w:rtl/>
        </w:rPr>
        <w:t xml:space="preserve">: סטטיסטיקה תיאורית של פריטי הלגיטימיות והרווחה הנפשית בקרב השפוטים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000"/>
        <w:gridCol w:w="1100"/>
        <w:gridCol w:w="1000"/>
        <w:gridCol w:w="1000"/>
        <w:gridCol w:w="1300"/>
      </w:tblGrid>
      <w:tr>
        <w:trPr>
          <w:cantSplit/>
          <w:tblHeader/>
        </w:trPr>
        <w:tc>
          <w:tcPr>
            <w:tcW w:type="dxa" w:w="4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-0.79</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w:t>
            </w:r>
          </w:p>
        </w:tc>
      </w:tr>
    </w:tbl>
    <w:p>
      <w:pPr>
        <w:bidi/>
        <w:spacing w:after="200" w:before="60" w:line="276"/>
        <w:jc w:val="right"/>
      </w:pPr>
      <w:r>
        <w:rPr>
          <w:rFonts w:ascii="David" w:cs="David" w:eastAsia="David" w:hAnsi="David"/>
          <w:sz w:val="20"/>
          <w:szCs w:val="20"/>
          <w:rtl/>
        </w:rPr>
        <w:t xml:space="preserve">הערה. כל הפריטים נמדדו בסולם של </w:t>
      </w:r>
      <w:r>
        <w:rPr>
          <w:rFonts w:ascii="Times New Roman" w:cs="Times New Roman" w:eastAsia="Times New Roman" w:hAnsi="Times New Roman"/>
          <w:sz w:val="20"/>
          <w:szCs w:val="20"/>
        </w:rPr>
        <w:t xml:space="preserve">1</w:t>
      </w:r>
      <w:r>
        <w:rPr>
          <w:rFonts w:ascii="David" w:cs="David" w:eastAsia="David" w:hAnsi="David"/>
          <w:sz w:val="20"/>
          <w:szCs w:val="20"/>
          <w:rtl/>
        </w:rPr>
        <w:t xml:space="preserve"> עד </w:t>
      </w:r>
      <w:r>
        <w:rPr>
          <w:rFonts w:ascii="Times New Roman" w:cs="Times New Roman" w:eastAsia="Times New Roman" w:hAnsi="Times New Roman"/>
          <w:sz w:val="20"/>
          <w:szCs w:val="20"/>
        </w:rPr>
        <w:t xml:space="preserve">5.</w:t>
      </w:r>
      <w:r>
        <w:rPr>
          <w:rFonts w:ascii="David" w:cs="David" w:eastAsia="David" w:hAnsi="David"/>
          <w:sz w:val="20"/>
          <w:szCs w:val="20"/>
          <w:rtl/>
        </w:rPr>
        <w:t xml:space="preserve"> מקור: פלט </w:t>
      </w:r>
      <w:r>
        <w:rPr>
          <w:rFonts w:ascii="Times New Roman" w:cs="Times New Roman" w:eastAsia="Times New Roman" w:hAnsi="Times New Roman"/>
          <w:sz w:val="20"/>
          <w:szCs w:val="20"/>
        </w:rPr>
        <w:t xml:space="preserve">Frequencies</w:t>
      </w:r>
      <w:r>
        <w:rPr>
          <w:rFonts w:ascii="David" w:cs="David" w:eastAsia="David" w:hAnsi="David"/>
          <w:sz w:val="20"/>
          <w:szCs w:val="20"/>
          <w:rtl/>
        </w:rPr>
        <w:t xml:space="preserve">, נספח.</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עולה כי שלושת פריטי הלגיטימיות מקבלים ממוצעים גבוהים, והגבוה שבהם הוא היחס המכבד של הסוהרים (</w:t>
      </w:r>
      <w:r>
        <w:rPr>
          <w:rFonts w:ascii="Times New Roman" w:cs="Times New Roman" w:eastAsia="Times New Roman" w:hAnsi="Times New Roman"/>
          <w:sz w:val="24"/>
          <w:szCs w:val="24"/>
        </w:rPr>
        <w:t xml:space="preserve">4.44</w:t>
      </w:r>
      <w:r>
        <w:rPr>
          <w:rFonts w:ascii="David" w:cs="David" w:eastAsia="David" w:hAnsi="David"/>
          <w:sz w:val="24"/>
          <w:szCs w:val="24"/>
          <w:rtl/>
        </w:rPr>
        <w:t xml:space="preserve">). ההתפלגויות מוטות שמאלה, כלומר רוב השפוטים מרוכזים בקצה הגבוה של הסולם. פריטי הרווחה הנפשית נמוכים יותר ומפוזרים יותר: הנמוך שבהם הוא תחושת השמחה בחודש האחרון (</w:t>
      </w:r>
      <w:r>
        <w:rPr>
          <w:rFonts w:ascii="Times New Roman" w:cs="Times New Roman" w:eastAsia="Times New Roman" w:hAnsi="Times New Roman"/>
          <w:sz w:val="24"/>
          <w:szCs w:val="24"/>
        </w:rPr>
        <w:t xml:space="preserve">3.58</w:t>
      </w:r>
      <w:r>
        <w:rPr>
          <w:rFonts w:ascii="David" w:cs="David" w:eastAsia="David" w:hAnsi="David"/>
          <w:sz w:val="24"/>
          <w:szCs w:val="24"/>
          <w:rtl/>
        </w:rPr>
        <w:t xml:space="preserve">), ורק פריט אחד, השיפור בבריאות מאז המאסר, מתקרב לרמת פריטי הלגיטימיות. ממוצעים אלו קרובים מאוד לאלו שדווחו לאגפים הפליליים בסקר המקורי, שם נע ממוצע פריטי הלגיטימיות בין </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-4.4</w:t>
      </w:r>
      <w:r>
        <w:rPr>
          <w:rFonts w:ascii="David" w:cs="David" w:eastAsia="David" w:hAnsi="David"/>
          <w:sz w:val="24"/>
          <w:szCs w:val="24"/>
          <w:rtl/>
        </w:rPr>
        <w:t xml:space="preserve"> וממוצע פריטי הבריאות והרווחה בין </w:t>
      </w:r>
      <w:r>
        <w:rPr>
          <w:rFonts w:ascii="Times New Roman" w:cs="Times New Roman" w:eastAsia="Times New Roman" w:hAnsi="Times New Roman"/>
          <w:sz w:val="24"/>
          <w:szCs w:val="24"/>
        </w:rPr>
        <w:t xml:space="preserve">3.6</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לפריט הטיפול בבקשות </w:t>
      </w:r>
      <w:r>
        <w:rPr>
          <w:rFonts w:ascii="Times New Roman" w:cs="Times New Roman" w:eastAsia="Times New Roman" w:hAnsi="Times New Roman"/>
          <w:sz w:val="24"/>
          <w:szCs w:val="24"/>
        </w:rPr>
        <w:t xml:space="preserve">227</w:t>
      </w:r>
      <w:r>
        <w:rPr>
          <w:rFonts w:ascii="David" w:cs="David" w:eastAsia="David" w:hAnsi="David"/>
          <w:sz w:val="24"/>
          <w:szCs w:val="24"/>
          <w:rtl/>
        </w:rPr>
        <w:t xml:space="preserve"> ערכים חסרים, כנראה משום שלא כל השפוטים הגישו בקשות בתקופת ההתייחסות.</w:t>
      </w:r>
    </w:p>
    <w:p>
      <w:pPr>
        <w:pStyle w:val="Heading2"/>
        <w:keepNext/>
        <w:bidi/>
        <w:spacing w:after="120" w:before="240" w:line="360"/>
        <w:jc w:val="right"/>
      </w:pPr>
      <w:r>
        <w:rPr>
          <w:rFonts w:ascii="David" w:cs="David" w:eastAsia="David" w:hAnsi="David"/>
          <w:b/>
          <w:bCs/>
          <w:sz w:val="28"/>
          <w:szCs w:val="28"/>
          <w:rtl/>
        </w:rPr>
        <w:t xml:space="preserve">מהימנות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מציג את הרכב שני הסולמות, מקדמי אלפא של קרונבך ומתאמי הפריט עם יתר הסולם.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4</w:t>
      </w:r>
      <w:r>
        <w:rPr>
          <w:rFonts w:ascii="David" w:cs="David" w:eastAsia="David" w:hAnsi="David"/>
          <w:b/>
          <w:bCs/>
          <w:sz w:val="24"/>
          <w:szCs w:val="24"/>
          <w:rtl/>
        </w:rPr>
        <w:t xml:space="preserve">: הרכב הסולמות ומהימנותם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3900"/>
        <w:gridCol w:w="1700"/>
        <w:gridCol w:w="1500"/>
        <w:gridCol w:w="1300"/>
      </w:tblGrid>
      <w:tr>
        <w:trPr>
          <w:cantSplit/>
          <w:tblHeader/>
        </w:trPr>
        <w:tc>
          <w:tcPr>
            <w:tcW w:type="dxa" w:w="3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סולם ופריטים</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מתאם פריט-סולם מתוקן</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אם הפריט מוסר</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של הסולם</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2,114</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0.67</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0.40</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2,379</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0.81</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0.63</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bl>
    <w:p>
      <w:pPr>
        <w:bidi/>
        <w:spacing w:after="200" w:before="60" w:line="276"/>
        <w:jc w:val="right"/>
      </w:pPr>
      <w:r>
        <w:rPr>
          <w:rFonts w:ascii="David" w:cs="David" w:eastAsia="David" w:hAnsi="David"/>
          <w:sz w:val="20"/>
          <w:szCs w:val="20"/>
          <w:rtl/>
        </w:rPr>
        <w:t xml:space="preserve">הערה. מתאמים בין פריטי הלגיטימיות: </w:t>
      </w:r>
      <w:r>
        <w:rPr>
          <w:rFonts w:ascii="Times New Roman" w:cs="Times New Roman" w:eastAsia="Times New Roman" w:hAnsi="Times New Roman"/>
          <w:sz w:val="20"/>
          <w:szCs w:val="20"/>
        </w:rPr>
        <w:t xml:space="preserve">0.55</w:t>
      </w:r>
      <w:r>
        <w:rPr>
          <w:rFonts w:ascii="David" w:cs="David" w:eastAsia="David" w:hAnsi="David"/>
          <w:sz w:val="20"/>
          <w:szCs w:val="20"/>
          <w:rtl/>
        </w:rPr>
        <w:t xml:space="preserve"> (דיבור עם סוהרים וכבוד), </w:t>
      </w:r>
      <w:r>
        <w:rPr>
          <w:rFonts w:ascii="Times New Roman" w:cs="Times New Roman" w:eastAsia="Times New Roman" w:hAnsi="Times New Roman"/>
          <w:sz w:val="20"/>
          <w:szCs w:val="20"/>
        </w:rPr>
        <w:t xml:space="preserve">0.33</w:t>
      </w:r>
      <w:r>
        <w:rPr>
          <w:rFonts w:ascii="David" w:cs="David" w:eastAsia="David" w:hAnsi="David"/>
          <w:sz w:val="20"/>
          <w:szCs w:val="20"/>
          <w:rtl/>
        </w:rPr>
        <w:t xml:space="preserve"> (דיבור ובקשות), </w:t>
      </w:r>
      <w:r>
        <w:rPr>
          <w:rFonts w:ascii="Times New Roman" w:cs="Times New Roman" w:eastAsia="Times New Roman" w:hAnsi="Times New Roman"/>
          <w:sz w:val="20"/>
          <w:szCs w:val="20"/>
        </w:rPr>
        <w:t xml:space="preserve">0.37</w:t>
      </w:r>
      <w:r>
        <w:rPr>
          <w:rFonts w:ascii="David" w:cs="David" w:eastAsia="David" w:hAnsi="David"/>
          <w:sz w:val="20"/>
          <w:szCs w:val="20"/>
          <w:rtl/>
        </w:rPr>
        <w:t xml:space="preserve"> (כבוד ובקשות). מקור: פלט </w:t>
      </w:r>
      <w:r>
        <w:rPr>
          <w:rFonts w:ascii="Times New Roman" w:cs="Times New Roman" w:eastAsia="Times New Roman" w:hAnsi="Times New Roman"/>
          <w:sz w:val="20"/>
          <w:szCs w:val="20"/>
        </w:rPr>
        <w:t xml:space="preserve">Reliability</w:t>
      </w:r>
      <w:r>
        <w:rPr>
          <w:rFonts w:ascii="David" w:cs="David" w:eastAsia="David" w:hAnsi="David"/>
          <w:sz w:val="20"/>
          <w:szCs w:val="20"/>
          <w:rtl/>
        </w:rPr>
        <w:t xml:space="preserve">, נספח.</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ניתן ללמוד כי סולם הרווחה הנפשית מהימן (α =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וכל פריט תורם לו: הסרת כל אחד מהפריטים הייתה מורידה את המהימנות. מהימנות סולם הלגיטימיות (α =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מהסף המקובל של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אך זהה למהימנות שדווחה לקובץ הסינתטי וקרובה ל</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שנמצאה בסקר המקורי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לסולם שלושה פריטים בלבד, ומקדם אלפא רגיש למספר הפריטים. שני הפריטים העוסקים ביחס הישיר של הסוהרים, האפשרות לדבר איתם והיחס המכבד, קשורים זה לזה בחוזקה (</w:t>
      </w:r>
      <w:r>
        <w:rPr>
          <w:rFonts w:ascii="Times New Roman" w:cs="Times New Roman" w:eastAsia="Times New Roman" w:hAnsi="Times New Roman"/>
          <w:sz w:val="24"/>
          <w:szCs w:val="24"/>
        </w:rPr>
        <w:t xml:space="preserve">0.55</w:t>
      </w:r>
      <w:r>
        <w:rPr>
          <w:rFonts w:ascii="David" w:cs="David" w:eastAsia="David" w:hAnsi="David"/>
          <w:sz w:val="24"/>
          <w:szCs w:val="24"/>
          <w:rtl/>
        </w:rPr>
        <w:t xml:space="preserve">), ואילו פריט הטיפול בבקשות קשור אליהם פחות, והסרתו הייתה מעלה את האלפא ל</w:t>
      </w:r>
      <w:r>
        <w:rPr>
          <w:rFonts w:ascii="Times New Roman" w:cs="Times New Roman" w:eastAsia="Times New Roman" w:hAnsi="Times New Roman"/>
          <w:sz w:val="24"/>
          <w:szCs w:val="24"/>
        </w:rPr>
        <w:t xml:space="preserve">-0.69.</w:t>
      </w:r>
      <w:r>
        <w:rPr>
          <w:rFonts w:ascii="David" w:cs="David" w:eastAsia="David" w:hAnsi="David"/>
          <w:sz w:val="24"/>
          <w:szCs w:val="24"/>
          <w:rtl/>
        </w:rPr>
        <w:t xml:space="preserve"> הוחלט להשאירו, משום שהטיפול בבקשות הוא ליבת ההוגנות הפרוצדורלית במודל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ומשום שכך נבנה הסולם בפרסום המקורי.</w:t>
      </w:r>
    </w:p>
    <w:p>
      <w:pPr>
        <w:pStyle w:val="Heading2"/>
        <w:keepNext/>
        <w:bidi/>
        <w:spacing w:after="120" w:before="240" w:line="360"/>
        <w:jc w:val="right"/>
      </w:pPr>
      <w:r>
        <w:rPr>
          <w:rFonts w:ascii="David" w:cs="David" w:eastAsia="David" w:hAnsi="David"/>
          <w:b/>
          <w:bCs/>
          <w:sz w:val="28"/>
          <w:szCs w:val="28"/>
          <w:rtl/>
        </w:rPr>
        <w:t xml:space="preserve">ממוצעי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מציג את הסטטיסטיקה התיאורית של שני ציוני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5</w:t>
      </w:r>
      <w:r>
        <w:rPr>
          <w:rFonts w:ascii="David" w:cs="David" w:eastAsia="David" w:hAnsi="David"/>
          <w:b/>
          <w:bCs/>
          <w:sz w:val="24"/>
          <w:szCs w:val="24"/>
          <w:rtl/>
        </w:rPr>
        <w:t xml:space="preserve">: סטטיסטיקה תיאורית של ציוני הלגיטימיות והרווחה הנפשית (שפוטים)</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2400"/>
        <w:gridCol w:w="1000"/>
        <w:gridCol w:w="900"/>
        <w:gridCol w:w="900"/>
        <w:gridCol w:w="1200"/>
        <w:gridCol w:w="1200"/>
        <w:gridCol w:w="1200"/>
      </w:tblGrid>
      <w:tr>
        <w:trPr>
          <w:cantSplit/>
          <w:tblHeader/>
        </w:trPr>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גבנוניות</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-0.01</w:t>
            </w:r>
          </w:p>
        </w:tc>
      </w:tr>
    </w:tbl>
    <w:p>
      <w:pPr>
        <w:bidi/>
        <w:spacing w:after="200" w:before="60" w:line="276"/>
        <w:jc w:val="right"/>
      </w:pPr>
      <w:r>
        <w:rPr>
          <w:rFonts w:ascii="David" w:cs="David" w:eastAsia="David" w:hAnsi="David"/>
          <w:sz w:val="20"/>
          <w:szCs w:val="20"/>
          <w:rtl/>
        </w:rPr>
        <w:t xml:space="preserve">הערה. מבחני קולמוגורוב-סמירנוב ושפירו-וילק מובהקים לשני המשתנים </w:t>
      </w:r>
      <w:r>
        <w:rPr>
          <w:rFonts w:ascii="Times New Roman" w:cs="Times New Roman" w:eastAsia="Times New Roman" w:hAnsi="Times New Roman"/>
          <w:sz w:val="20"/>
          <w:szCs w:val="20"/>
        </w:rPr>
        <w:t xml:space="preserve">(p &lt; 0.001)</w:t>
      </w:r>
      <w:r>
        <w:rPr>
          <w:rFonts w:ascii="David" w:cs="David" w:eastAsia="David" w:hAnsi="David"/>
          <w:sz w:val="20"/>
          <w:szCs w:val="20"/>
          <w:rtl/>
        </w:rPr>
        <w:t xml:space="preserve">. מקור: פלטי </w:t>
      </w:r>
      <w:r>
        <w:rPr>
          <w:rFonts w:ascii="Times New Roman" w:cs="Times New Roman" w:eastAsia="Times New Roman" w:hAnsi="Times New Roman"/>
          <w:sz w:val="20"/>
          <w:szCs w:val="20"/>
        </w:rPr>
        <w:t xml:space="preserve">Descriptives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Explore</w:t>
      </w:r>
      <w:r>
        <w:rPr>
          <w:rFonts w:ascii="David" w:cs="David" w:eastAsia="David" w:hAnsi="David"/>
          <w:sz w:val="20"/>
          <w:szCs w:val="20"/>
          <w:rtl/>
        </w:rPr>
        <w:t xml:space="preserve">, נספח.</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עולה כי ממוצע הלגיטימיות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גבוה ומתקרב לתקרת הסולם, בעוד ממוצע הרווחה הנפשית (</w:t>
      </w:r>
      <w:r>
        <w:rPr>
          <w:rFonts w:ascii="Times New Roman" w:cs="Times New Roman" w:eastAsia="Times New Roman" w:hAnsi="Times New Roman"/>
          <w:sz w:val="24"/>
          <w:szCs w:val="24"/>
        </w:rPr>
        <w:t xml:space="preserve">3.78</w:t>
      </w:r>
      <w:r>
        <w:rPr>
          <w:rFonts w:ascii="David" w:cs="David" w:eastAsia="David" w:hAnsi="David"/>
          <w:sz w:val="24"/>
          <w:szCs w:val="24"/>
          <w:rtl/>
        </w:rPr>
        <w:t xml:space="preserve">) נמוך ממנו כמעט בחצי נקודה, וסטיות התקן דומות. הממוצעים קרובים לאלו שדווחו לשפוטים בסקר המקורי, </w:t>
      </w:r>
      <w:r>
        <w:rPr>
          <w:rFonts w:ascii="Times New Roman" w:cs="Times New Roman" w:eastAsia="Times New Roman" w:hAnsi="Times New Roman"/>
          <w:sz w:val="24"/>
          <w:szCs w:val="24"/>
        </w:rPr>
        <w:t xml:space="preserve">4.28</w:t>
      </w:r>
      <w:r>
        <w:rPr>
          <w:rFonts w:ascii="David" w:cs="David" w:eastAsia="David" w:hAnsi="David"/>
          <w:sz w:val="24"/>
          <w:szCs w:val="24"/>
          <w:rtl/>
        </w:rPr>
        <w:t xml:space="preserve"> ללגיטימיות ו</w:t>
      </w:r>
      <w:r>
        <w:rPr>
          <w:rFonts w:ascii="Times New Roman" w:cs="Times New Roman" w:eastAsia="Times New Roman" w:hAnsi="Times New Roman"/>
          <w:sz w:val="24"/>
          <w:szCs w:val="24"/>
        </w:rPr>
        <w:t xml:space="preserve">-3.84</w:t>
      </w:r>
      <w:r>
        <w:rPr>
          <w:rFonts w:ascii="David" w:cs="David" w:eastAsia="David" w:hAnsi="David"/>
          <w:sz w:val="24"/>
          <w:szCs w:val="24"/>
          <w:rtl/>
        </w:rPr>
        <w:t xml:space="preserve"> לבריאות ולרווחה נפשית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התפלגות הלגיטימיות מוטה שמאלה באופן ניכר, ושני מבחני הנורמליות מובהקים. בשל גודל המדגם מבחנים אלו רגישים גם לסטיות קטנות, ומקדמי הצורה נמצאים בטווח שבו מתאם פירסון עדיין תקף, אך כדי להיות בטוחות חושב לצדו גם מתאם ספירמן.</w:t>
      </w:r>
    </w:p>
    <w:p>
      <w:pPr>
        <w:pStyle w:val="Heading2"/>
        <w:keepNext/>
        <w:bidi/>
        <w:spacing w:after="120" w:before="240" w:line="360"/>
        <w:jc w:val="right"/>
      </w:pPr>
      <w:r>
        <w:rPr>
          <w:rFonts w:ascii="David" w:cs="David" w:eastAsia="David" w:hAnsi="David"/>
          <w:b/>
          <w:bCs/>
          <w:sz w:val="28"/>
          <w:szCs w:val="28"/>
          <w:rtl/>
        </w:rPr>
        <w:t xml:space="preserve">הקשר בין רווחה נפשית ללגיטימיות</w:t>
      </w:r>
    </w:p>
    <w:p>
      <w:pPr>
        <w:bidi/>
        <w:spacing w:after="120" w:line="360"/>
        <w:ind w:firstLine="567"/>
        <w:jc w:val="both"/>
      </w:pPr>
      <w:r>
        <w:rPr>
          <w:rFonts w:ascii="David" w:cs="David" w:eastAsia="David" w:hAnsi="David"/>
          <w:sz w:val="24"/>
          <w:szCs w:val="24"/>
          <w:rtl/>
        </w:rPr>
        <w:t xml:space="preserve">כדי לבחון את השערה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חושבו מתאמי פירסון וספירמן בין ציון הרווחה הנפשית לציון הלגיטימיות, וכן מתאמי ספירמן בין הרווחה לכל אחד מפריטי הלגיטימיות. 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מציג את התוצאות.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6</w:t>
      </w:r>
      <w:r>
        <w:rPr>
          <w:rFonts w:ascii="David" w:cs="David" w:eastAsia="David" w:hAnsi="David"/>
          <w:b/>
          <w:bCs/>
          <w:sz w:val="24"/>
          <w:szCs w:val="24"/>
          <w:rtl/>
        </w:rPr>
        <w:t xml:space="preserve">: מתאמים בין רווחה נפשית לבין לגיטימיות הסגל ופריטיה </w:t>
      </w:r>
      <w:r>
        <w:rPr>
          <w:rFonts w:ascii="Times New Roman" w:cs="Times New Roman" w:eastAsia="Times New Roman" w:hAnsi="Times New Roman"/>
          <w:b/>
          <w:bCs/>
          <w:sz w:val="24"/>
          <w:szCs w:val="24"/>
        </w:rPr>
        <w:t xml:space="preserve">(N = 2,344)</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1400"/>
        <w:gridCol w:w="1400"/>
        <w:gridCol w:w="14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פירסון </w:t>
            </w:r>
            <w:r>
              <w:rPr>
                <w:rFonts w:ascii="Times New Roman" w:cs="Times New Roman" w:eastAsia="Times New Roman" w:hAnsi="Times New Roman"/>
                <w:b/>
                <w:bCs/>
                <w:sz w:val="22"/>
                <w:szCs w:val="22"/>
              </w:rPr>
              <w:t xml:space="preserve">r</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ספירמן </w:t>
            </w:r>
            <w:r>
              <w:rPr>
                <w:rFonts w:ascii="Times New Roman" w:cs="Times New Roman" w:eastAsia="Times New Roman" w:hAnsi="Times New Roman"/>
                <w:b/>
                <w:bCs/>
                <w:sz w:val="22"/>
                <w:szCs w:val="22"/>
              </w:rPr>
              <w:t xml:space="preserve">rs</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p</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(ציון סולם)</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bidi/>
        <w:spacing w:after="200" w:before="60" w:line="276"/>
        <w:jc w:val="right"/>
      </w:pPr>
      <w:r>
        <w:rPr>
          <w:rFonts w:ascii="David" w:cs="David" w:eastAsia="David" w:hAnsi="David"/>
          <w:sz w:val="20"/>
          <w:szCs w:val="20"/>
          <w:rtl/>
        </w:rPr>
        <w:t xml:space="preserve">מקור: פלטי </w:t>
      </w:r>
      <w:r>
        <w:rPr>
          <w:rFonts w:ascii="Times New Roman" w:cs="Times New Roman" w:eastAsia="Times New Roman" w:hAnsi="Times New Roman"/>
          <w:sz w:val="20"/>
          <w:szCs w:val="20"/>
        </w:rPr>
        <w:t xml:space="preserve">Correlations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Nonparametric Correlations</w:t>
      </w:r>
      <w:r>
        <w:rPr>
          <w:rFonts w:ascii="David" w:cs="David" w:eastAsia="David" w:hAnsi="David"/>
          <w:sz w:val="20"/>
          <w:szCs w:val="20"/>
          <w:rtl/>
        </w:rPr>
        <w:t xml:space="preserve">, נספח.</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ניתן ללמוד כי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ככל שהשפוט מדווח על רווחה נפשית גבוהה יותר, כך הוא מייחס לסגל לגיטימיות גבוהה יותר, ולהפך. מתאם ספירמן (</w:t>
      </w:r>
      <w:r>
        <w:rPr>
          <w:rFonts w:ascii="Times New Roman" w:cs="Times New Roman" w:eastAsia="Times New Roman" w:hAnsi="Times New Roman"/>
          <w:sz w:val="24"/>
          <w:szCs w:val="24"/>
        </w:rPr>
        <w:t xml:space="preserve">0.34</w:t>
      </w:r>
      <w:r>
        <w:rPr>
          <w:rFonts w:ascii="David" w:cs="David" w:eastAsia="David" w:hAnsi="David"/>
          <w:sz w:val="24"/>
          <w:szCs w:val="24"/>
          <w:rtl/>
        </w:rPr>
        <w:t xml:space="preserve">) קרוב מאוד למתאם פירסון, ומכאן שההטיה בהתפלגות הלגיטימיות אינה מעוותת את התמונה. הקשר קיים בכל שלושת הפריטים, והחזק שבהם הוא האפשרות לדבר עם הסוהרים כשמודאגים או עצובים (</w:t>
      </w:r>
      <w:r>
        <w:rPr>
          <w:rFonts w:ascii="Times New Roman" w:cs="Times New Roman" w:eastAsia="Times New Roman" w:hAnsi="Times New Roman"/>
          <w:sz w:val="24"/>
          <w:szCs w:val="24"/>
        </w:rPr>
        <w:t xml:space="preserve">0.29</w:t>
      </w:r>
      <w:r>
        <w:rPr>
          <w:rFonts w:ascii="David" w:cs="David" w:eastAsia="David" w:hAnsi="David"/>
          <w:sz w:val="24"/>
          <w:szCs w:val="24"/>
          <w:rtl/>
        </w:rPr>
        <w:t xml:space="preserve">). ממצא זה מתיישב עם עבודתו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על מתן קול כמרכיב הצדק הפרוצדורלי, ועם הממצא ההולנדי שלפיו יחסי הסגל הם ממד האקלים הקשור ביותר לרווחה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השערת המחקר אוששה. 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מציג את הקשר מזווית נוספת, ממוצע הרווחה הנפשית בשלוש רמות של לגיטימיות.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7</w:t>
      </w:r>
      <w:r>
        <w:rPr>
          <w:rFonts w:ascii="David" w:cs="David" w:eastAsia="David" w:hAnsi="David"/>
          <w:b/>
          <w:bCs/>
          <w:sz w:val="24"/>
          <w:szCs w:val="24"/>
          <w:rtl/>
        </w:rPr>
        <w:t xml:space="preserve">: ממוצע הרווחה הנפשית לפי רמת הלגיטימיות </w:t>
      </w:r>
      <w:r>
        <w:rPr>
          <w:rFonts w:ascii="Times New Roman" w:cs="Times New Roman" w:eastAsia="Times New Roman" w:hAnsi="Times New Roman"/>
          <w:b/>
          <w:bCs/>
          <w:sz w:val="24"/>
          <w:szCs w:val="24"/>
        </w:rPr>
        <w:t xml:space="preserve">(N = 2,344)</w:t>
      </w:r>
    </w:p>
    <w:tbl>
      <w:tblPr>
        <w:bidiVisual/>
        <w:tblW w:type="dxa" w:w="7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000"/>
        <w:gridCol w:w="1200"/>
        <w:gridCol w:w="1200"/>
        <w:gridCol w:w="12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רמת לגיטימיות</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 ציונים</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נמוכה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עד </w:t>
            </w:r>
            <w:r>
              <w:rPr>
                <w:rFonts w:ascii="Times New Roman" w:cs="Times New Roman" w:eastAsia="Times New Roman" w:hAnsi="Times New Roman"/>
                <w:b w:val="false"/>
                <w:bCs w:val="false"/>
                <w:sz w:val="22"/>
                <w:szCs w:val="22"/>
              </w:rPr>
              <w:t xml:space="preserve">3.50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בינונית</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3.51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809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גבוהה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עולה מדרג ברור: השפוטים ברמת הלגיטימיות הנמוכה מדווחים על רווחה נפשית ממוצעת של </w:t>
      </w:r>
      <w:r>
        <w:rPr>
          <w:rFonts w:ascii="Times New Roman" w:cs="Times New Roman" w:eastAsia="Times New Roman" w:hAnsi="Times New Roman"/>
          <w:sz w:val="24"/>
          <w:szCs w:val="24"/>
        </w:rPr>
        <w:t xml:space="preserve">3.34,</w:t>
      </w:r>
      <w:r>
        <w:rPr>
          <w:rFonts w:ascii="David" w:cs="David" w:eastAsia="David" w:hAnsi="David"/>
          <w:sz w:val="24"/>
          <w:szCs w:val="24"/>
          <w:rtl/>
        </w:rPr>
        <w:t xml:space="preserve"> ואילו אלו ברמה הגבוהה על </w:t>
      </w:r>
      <w:r>
        <w:rPr>
          <w:rFonts w:ascii="Times New Roman" w:cs="Times New Roman" w:eastAsia="Times New Roman" w:hAnsi="Times New Roman"/>
          <w:sz w:val="24"/>
          <w:szCs w:val="24"/>
        </w:rPr>
        <w:t xml:space="preserve">4.05,</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שהוא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פער בגודל כזה בין קבוצות שנבדלות רק בתפיסת הסגל דומה בעוצמתו לפער שמצאו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בין בתי סוהר שמעל ומתחת לסף היחסים שזיהו.</w:t>
      </w:r>
    </w:p>
    <w:p>
      <w:pPr>
        <w:bidi/>
        <w:spacing w:after="120" w:line="360"/>
        <w:ind w:firstLine="567"/>
        <w:jc w:val="both"/>
      </w:pPr>
      <w:r>
        <w:rPr>
          <w:rFonts w:ascii="David" w:cs="David" w:eastAsia="David" w:hAnsi="David"/>
          <w:sz w:val="24"/>
          <w:szCs w:val="24"/>
          <w:rtl/>
        </w:rPr>
        <w:t xml:space="preserve">המדרג שבלוח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מאפשר גם להעריך את גודל האפקט במונחים מוכרים: מתאם של </w:t>
      </w:r>
      <w:r>
        <w:rPr>
          <w:rFonts w:ascii="Times New Roman" w:cs="Times New Roman" w:eastAsia="Times New Roman" w:hAnsi="Times New Roman"/>
          <w:sz w:val="24"/>
          <w:szCs w:val="24"/>
        </w:rPr>
        <w:t xml:space="preserve">0.32</w:t>
      </w:r>
      <w:r>
        <w:rPr>
          <w:rFonts w:ascii="David" w:cs="David" w:eastAsia="David" w:hAnsi="David"/>
          <w:sz w:val="24"/>
          <w:szCs w:val="24"/>
          <w:rtl/>
        </w:rPr>
        <w:t xml:space="preserve"> פירושו שהרווחה הנפשית והלגיטימיות חולקות כעשרה אחוזים מהשונות. זהו קשר בינוני, קרוב בעוצמתו לקשרים שנמצאו בין מאפייני האסיר ללגיטימיות באנגליה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ומצביע על כך שרוב השונות בלגיטימיות מוסברת על ידי גורמים אחרים, ובראשם ההוגנות הפרוצדורלית של הסגל עצמו.</w:t>
      </w:r>
    </w:p>
    <w:p>
      <w:pPr>
        <w:pStyle w:val="Heading1"/>
        <w:pageBreakBefore/>
        <w:bidi/>
        <w:spacing w:after="240" w:before="0" w:line="360"/>
        <w:jc w:val="right"/>
      </w:pPr>
      <w:r>
        <w:rPr>
          <w:rFonts w:ascii="David" w:cs="David" w:eastAsia="David" w:hAnsi="David"/>
          <w:b/>
          <w:bCs/>
          <w:sz w:val="32"/>
          <w:szCs w:val="32"/>
          <w:rtl/>
        </w:rPr>
        <w:t xml:space="preserve">דיון</w:t>
      </w:r>
    </w:p>
    <w:p>
      <w:pPr>
        <w:pStyle w:val="Heading2"/>
        <w:keepNext/>
        <w:bidi/>
        <w:spacing w:after="120" w:before="240" w:line="360"/>
        <w:jc w:val="right"/>
      </w:pPr>
      <w:r>
        <w:rPr>
          <w:rFonts w:ascii="David" w:cs="David" w:eastAsia="David" w:hAnsi="David"/>
          <w:b/>
          <w:bCs/>
          <w:sz w:val="28"/>
          <w:szCs w:val="28"/>
          <w:rtl/>
        </w:rPr>
        <w:t xml:space="preserve">רקע למחקר</w:t>
      </w:r>
    </w:p>
    <w:p>
      <w:pPr>
        <w:bidi/>
        <w:spacing w:after="120" w:line="360"/>
        <w:ind w:firstLine="567"/>
        <w:jc w:val="both"/>
      </w:pPr>
      <w:r>
        <w:rPr>
          <w:rFonts w:ascii="David" w:cs="David" w:eastAsia="David" w:hAnsi="David"/>
          <w:sz w:val="24"/>
          <w:szCs w:val="24"/>
          <w:rtl/>
        </w:rPr>
        <w:t xml:space="preserve">המחקר ביקש לבחון באיזו מידה קיים קשר בין רווחה נפשית לבין תפיסת הלגיטימיות של סגל הכליאה בקרב אסירים שפוטים בישראל. הוא נשען על המודל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שלפיו הציות לסמכות נובע מתפיסתה כלגיטימית, ועל ספרות ההסתגלות למאסר שתיארה את הפגיעה ברווחה הנפשית כחלק בלתי נפרד מחוויית הכליאה </w:t>
      </w:r>
      <w:r>
        <w:rPr>
          <w:rFonts w:ascii="Times New Roman" w:cs="Times New Roman" w:eastAsia="Times New Roman" w:hAnsi="Times New Roman"/>
          <w:sz w:val="24"/>
          <w:szCs w:val="24"/>
        </w:rPr>
        <w:t xml:space="preserve">(Sykes, 1958; Liebling &amp; Maruna, 2005)</w:t>
      </w:r>
      <w:r>
        <w:rPr>
          <w:rFonts w:ascii="David" w:cs="David" w:eastAsia="David" w:hAnsi="David"/>
          <w:sz w:val="24"/>
          <w:szCs w:val="24"/>
          <w:rtl/>
        </w:rPr>
        <w:t xml:space="preserve">. הנתונים נלקחו מקובץ סינתטי המבוסס על סקר תנאי המחיה של שירות בתי הסוהר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שני ממצאים עיקריים עלו. ראשית, נמצא קשר חיובי מובהק בעוצמה בינונית בין רווחה נפשית ללגיטימיות, בכל שלושת פריטי הלגיטימיות. שנית, הפער ברווחה בין השפוטים ברמת הלגיטימיות הנמוכה לאלו ברמה הגבוהה עומד על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השערת המחקר אוששה. בפסקאות הבאות הממצאים נקשרים לספרות שנסקרה, לפי הנושאים המרכזיים.</w:t>
      </w:r>
    </w:p>
    <w:p>
      <w:pPr>
        <w:pStyle w:val="Heading2"/>
        <w:keepNext/>
        <w:bidi/>
        <w:spacing w:after="120" w:before="240" w:line="360"/>
        <w:jc w:val="right"/>
      </w:pPr>
      <w:r>
        <w:rPr>
          <w:rFonts w:ascii="David" w:cs="David" w:eastAsia="David" w:hAnsi="David"/>
          <w:b/>
          <w:bCs/>
          <w:sz w:val="28"/>
          <w:szCs w:val="28"/>
          <w:rtl/>
        </w:rPr>
        <w:t xml:space="preserve">רווחה נפשית ולגיטימיות</w:t>
      </w:r>
    </w:p>
    <w:p>
      <w:pPr>
        <w:bidi/>
        <w:spacing w:after="120" w:line="360"/>
        <w:ind w:firstLine="567"/>
        <w:jc w:val="both"/>
      </w:pPr>
      <w:r>
        <w:rPr>
          <w:rFonts w:ascii="David" w:cs="David" w:eastAsia="David" w:hAnsi="David"/>
          <w:sz w:val="24"/>
          <w:szCs w:val="24"/>
          <w:rtl/>
        </w:rPr>
        <w:t xml:space="preserve">הקשר החיובי שנמצא עולה בקנה אחד עם המחקר ההולנדי, שבו יחס הוגן מצד הסוהרים ניבא פחות בעיות נפשיות בהמשך המאסר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ועם המחקר האוסטרלי, שבו צדק פרוצדורלי ניבא רווחה גבוהה יותר דרך איכות היחסים עם הסגל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המחקר הנוכחי מוסיף לכך את הכיוון ההפוך: שפוטים שרווחתם הנפשית גבוהה יותר תופסים את הסגל כלגיטימי יותר. שני הכיוונים אינם סותרים. סביר שמדובר במעגל שבו יחס הוגן משפר את הרווחה, ורווחה גבוהה יותר מאפשרת לאסיר לפרש את התנהגות הסגל באור פחות עוין ולפנות אליו כשקשה לו. העובדה שהפריט הקשור ביותר לרווחה הוא דווקא האפשרות לדבר עם הסוהרים כשמודאגים או עצובים מחזקת פירוש זה, ומתיישבת עם הממצא שיחסי אמון עם הסגל הם המרכיב שמלווה את האסיר גם אחרי השחרור </w:t>
      </w:r>
      <w:r>
        <w:rPr>
          <w:rFonts w:ascii="Times New Roman" w:cs="Times New Roman" w:eastAsia="Times New Roman" w:hAnsi="Times New Roman"/>
          <w:sz w:val="24"/>
          <w:szCs w:val="24"/>
        </w:rPr>
        <w:t xml:space="preserve">(Horowitz &amp; Hyatt, 2025)</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הממצא מתיישב גם עם הטענה של ליבלינג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שממדים כמו כבוד, אנושיות ויחסים עם הסגל מתואמים עם רמת המצוקה של האסירים, ועם ממצאיהם של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שלפיהם דלות סביבתית וחוויות שליליות הן שמכרסמות בלגיטימיות. המדרג שנמצא 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השפוטים ברמת הלגיטימיות הנמוכה לאלו ברמה הגבוהה, מקבל משמעות מעשית לאור הסף שזיהו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מתחת לרמה מסוימת של יחסים בין סגל לאסירים עולים באופן חד שיעורי הפגיעה העצמית והאלימות. הממצא האמריקני שלפיו צדק פרוצדורלי קשור לפחות מחשבות אובדניות </w:t>
      </w:r>
      <w:r>
        <w:rPr>
          <w:rFonts w:ascii="Times New Roman" w:cs="Times New Roman" w:eastAsia="Times New Roman" w:hAnsi="Times New Roman"/>
          <w:sz w:val="24"/>
          <w:szCs w:val="24"/>
        </w:rPr>
        <w:t xml:space="preserve">(Abderhalden &amp; Alward, 2024)</w:t>
      </w:r>
      <w:r>
        <w:rPr>
          <w:rFonts w:ascii="David" w:cs="David" w:eastAsia="David" w:hAnsi="David"/>
          <w:sz w:val="24"/>
          <w:szCs w:val="24"/>
          <w:rtl/>
        </w:rPr>
        <w:t xml:space="preserve"> מצביע על אותו כיוון.</w:t>
      </w:r>
    </w:p>
    <w:p>
      <w:pPr>
        <w:bidi/>
        <w:spacing w:after="120" w:line="360"/>
        <w:ind w:firstLine="567"/>
        <w:jc w:val="both"/>
      </w:pPr>
      <w:r>
        <w:rPr>
          <w:rFonts w:ascii="David" w:cs="David" w:eastAsia="David" w:hAnsi="David"/>
          <w:sz w:val="24"/>
          <w:szCs w:val="24"/>
          <w:rtl/>
        </w:rPr>
        <w:t xml:space="preserve">עוצמת הקשר, בינונית ולא גבוהה, ראויה להתייחסות. הרווחה הנפשית חולקת עם הלגיטימיות כעשרה אחוזים מהשונות, ורוב השונות מוסברת על ידי גורמים אחרים.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הראו שהמנבא החזק ביותר של לגיטימיות הוא ההוגנות הפרוצדורלית עצמה, כלומר האופן שבו הסגל מקבל החלטות ומסביר אותן, ושחלק מהשונות נמצא ברמת בית הסוהר ולא ברמת האסיר.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הוסיפו שמאפייני הסגל ביחידה משפיעים על תפיסת ההוגנות. בקובץ הסינתטי לא ניתן להפריד בין בתי סוהר ובין אגפים, ולכן חלק זה של השונות נותר מחוץ לניתוח. בסקר המקורי הסביר המודל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אחוזים משביעות הרצון מפעילויות השיקום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אך שם המנבא המרכזי היה שביעות הרצון מתנאי המחיה, שהיא קרובה מושגית למשתנה המנובא יותר משהרווחה הנפשית קרובה ללגיטימיות.</w:t>
      </w:r>
    </w:p>
    <w:p>
      <w:pPr>
        <w:pStyle w:val="Heading2"/>
        <w:keepNext/>
        <w:bidi/>
        <w:spacing w:after="120" w:before="240" w:line="360"/>
        <w:jc w:val="right"/>
      </w:pPr>
      <w:r>
        <w:rPr>
          <w:rFonts w:ascii="David" w:cs="David" w:eastAsia="David" w:hAnsi="David"/>
          <w:b/>
          <w:bCs/>
          <w:sz w:val="28"/>
          <w:szCs w:val="28"/>
          <w:rtl/>
        </w:rPr>
        <w:t xml:space="preserve">לגיטימיות בהקשר הישראלי</w:t>
      </w:r>
    </w:p>
    <w:p>
      <w:pPr>
        <w:bidi/>
        <w:spacing w:after="120" w:line="360"/>
        <w:ind w:firstLine="567"/>
        <w:jc w:val="both"/>
      </w:pPr>
      <w:r>
        <w:rPr>
          <w:rFonts w:ascii="David" w:cs="David" w:eastAsia="David" w:hAnsi="David"/>
          <w:sz w:val="24"/>
          <w:szCs w:val="24"/>
          <w:rtl/>
        </w:rPr>
        <w:t xml:space="preserve">ממצאי הסקר המקורי הצביעו על הלגיטימיות כמשתנה שממתן את הקשר בין תנאי המחיה לשביעות הרצון מפעילויות השיקום, והמחבר הציע לשירות בתי הסוהר לראות בה כלי ניהולי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מחזק את ההצעה מכיוון אחר: לא רק תנאי המחיה הפיזיים אלא גם המצב הנפשי של השפוט קשור לאופן שבו הוא שופט את הסגל. הממוצע הגבוה של הלגיטימיות שנמצא,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שונה מהתמונה בסלובניה, שם יותר ממחצית האסירים לא נתנו אמון בסגל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ייתכן שההבדל משקף מדיניות של יחס מכבד באגפים הפליליים בישראל, וייתכן שהוא משקף רצייה חברתית בשאלון שהועבר על ידי מנהלי האגפים עצמם. שני ההסברים אינם מוציאים זה את זה. ממצאי ון הול ואחרים </w:t>
      </w:r>
      <w:r>
        <w:rPr>
          <w:rFonts w:ascii="Times New Roman" w:cs="Times New Roman" w:eastAsia="Times New Roman" w:hAnsi="Times New Roman"/>
          <w:sz w:val="24"/>
          <w:szCs w:val="24"/>
        </w:rPr>
        <w:t xml:space="preserve">(van Hall et al., 2025)</w:t>
      </w:r>
      <w:r>
        <w:rPr>
          <w:rFonts w:ascii="David" w:cs="David" w:eastAsia="David" w:hAnsi="David"/>
          <w:sz w:val="24"/>
          <w:szCs w:val="24"/>
          <w:rtl/>
        </w:rPr>
        <w:t xml:space="preserve"> בדבר ה"שפיכה" של הלגיטימיות אל מחוץ לחומות מלמדים שהשקעה בלגיטימיות באגף היא גם השקעה בשיקום, וזהו בדיוק הקשר שהסקר הישראלי זיהה בין לגיטימיות לפעילויות השיקום.</w:t>
      </w:r>
    </w:p>
    <w:p>
      <w:pPr>
        <w:pStyle w:val="Heading2"/>
        <w:keepNext/>
        <w:bidi/>
        <w:spacing w:after="120" w:before="240" w:line="360"/>
        <w:jc w:val="right"/>
      </w:pPr>
      <w:r>
        <w:rPr>
          <w:rFonts w:ascii="David" w:cs="David" w:eastAsia="David" w:hAnsi="David"/>
          <w:b/>
          <w:bCs/>
          <w:sz w:val="28"/>
          <w:szCs w:val="28"/>
          <w:rtl/>
        </w:rPr>
        <w:t xml:space="preserve">השלכות יישומיות</w:t>
      </w:r>
    </w:p>
    <w:p>
      <w:pPr>
        <w:bidi/>
        <w:spacing w:after="120" w:line="360"/>
        <w:ind w:firstLine="567"/>
        <w:jc w:val="both"/>
      </w:pPr>
      <w:r>
        <w:rPr>
          <w:rFonts w:ascii="David" w:cs="David" w:eastAsia="David" w:hAnsi="David"/>
          <w:sz w:val="24"/>
          <w:szCs w:val="24"/>
          <w:rtl/>
        </w:rPr>
        <w:t xml:space="preserve">מהממצאים נגזרות כמה המלצות מעשיות. הראשונה היא סינון שגרתי של רווחה נפשית בשתי נקודות זמן, בקליטה לאגף ושלושה חודשים לאחריה, שהן נקודות הזמן שבהן נמדדה המצוקה במחקר ההולנדי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חמשת פריטי הרווחה שבשאלון הנוכחי, שמהימנותם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יכולים לשמש לכך כפי שהם. השנייה נובעת מהממצא שהפריט הקשור ביותר לרווחה הוא האפשרות לדבר עם הסוהרים: לקבוע לכל סוהר אגף שעת קבלה שבועית קבועה שבה אסירים יכולים לפנות אליו שלא בדחיפות, ולתעד את הפניות. השלישית היא הכשרת סוהרי אגף בעקרונות הצדק הפרוצדורלי, לתת לאסיר לומר את דברו לפני החלטה ולהסביר את ההחלטה גם כשהיא שלילית, בהתאם למודל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הרביעית היא מדידה שנתית של הלגיטימיות והרווחה ברמת האגף באמצעות שלושת פריטי הלגיטימיות וחמשת פריטי הרווחה, כך שאגפים שבהם הציונים נמוכים מסף מוגדר, למשל </w:t>
      </w:r>
      <w:r>
        <w:rPr>
          <w:rFonts w:ascii="Times New Roman" w:cs="Times New Roman" w:eastAsia="Times New Roman" w:hAnsi="Times New Roman"/>
          <w:sz w:val="24"/>
          <w:szCs w:val="24"/>
        </w:rPr>
        <w:t xml:space="preserve">3.5,</w:t>
      </w:r>
      <w:r>
        <w:rPr>
          <w:rFonts w:ascii="David" w:cs="David" w:eastAsia="David" w:hAnsi="David"/>
          <w:sz w:val="24"/>
          <w:szCs w:val="24"/>
          <w:rtl/>
        </w:rPr>
        <w:t xml:space="preserve"> יזוהו ויקבלו ליווי, בדומה לסף שהציעו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w:t>
      </w:r>
    </w:p>
    <w:p>
      <w:pPr>
        <w:pStyle w:val="Heading1"/>
        <w:pageBreakBefore/>
        <w:bidi/>
        <w:spacing w:after="240" w:before="0" w:line="360"/>
        <w:jc w:val="right"/>
      </w:pPr>
      <w:r>
        <w:rPr>
          <w:rFonts w:ascii="David" w:cs="David" w:eastAsia="David" w:hAnsi="David"/>
          <w:b/>
          <w:bCs/>
          <w:sz w:val="32"/>
          <w:szCs w:val="32"/>
          <w:rtl/>
        </w:rPr>
        <w:t xml:space="preserve">מגבלות המחקר</w:t>
      </w:r>
    </w:p>
    <w:p>
      <w:pPr>
        <w:bidi/>
        <w:spacing w:after="120" w:line="360"/>
        <w:ind w:firstLine="567"/>
        <w:jc w:val="both"/>
      </w:pPr>
      <w:r>
        <w:rPr>
          <w:rFonts w:ascii="David" w:cs="David" w:eastAsia="David" w:hAnsi="David"/>
          <w:sz w:val="24"/>
          <w:szCs w:val="24"/>
          <w:rtl/>
        </w:rPr>
        <w:t xml:space="preserve">המגבלה הראשונה והמרכזית היא שהנתונים סינתטיים. הם נבנו על פי המבנה של סקר תנאי המחיה בשירות בתי הסוהר, אך אינם נתוני האסירים עצמם, ואומדנים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לכן הממצאים מלמדים על השיטה ועל אופן הניתוח, ואין להסיק מהם מסקנות ישירות על אוכלוסיית השפוטים בישראל. כל המלצה יישומית שהוצגה בדיון היא בגדר השערה שדורשת בדיקה בנתונים אמיתיים.</w:t>
      </w:r>
    </w:p>
    <w:p>
      <w:pPr>
        <w:bidi/>
        <w:spacing w:after="120" w:line="360"/>
        <w:ind w:firstLine="567"/>
        <w:jc w:val="both"/>
      </w:pPr>
      <w:r>
        <w:rPr>
          <w:rFonts w:ascii="David" w:cs="David" w:eastAsia="David" w:hAnsi="David"/>
          <w:sz w:val="24"/>
          <w:szCs w:val="24"/>
          <w:rtl/>
        </w:rPr>
        <w:t xml:space="preserve">המגבלה השנייה נוגעת למערך. המחקר הוא מחקר חתך מתאמי, ולכן אינו יכול להכריע בכיוון הקשר: האם הרווחה הנפשית משפיעה על תפיסת הלגיטימיות, האם יחס לגיטימי משפר את הרווחה, או האם משתנה שלישי כמו תנאי האגף מסביר את שניהם. המחקרים ההולנדי והאוסטרלי הראו שאפשר לענות על שאלה זו רק במערך אורך עם שתי מדידות לפחות </w:t>
      </w:r>
      <w:r>
        <w:rPr>
          <w:rFonts w:ascii="Times New Roman" w:cs="Times New Roman" w:eastAsia="Times New Roman" w:hAnsi="Times New Roman"/>
          <w:sz w:val="24"/>
          <w:szCs w:val="24"/>
        </w:rPr>
        <w:t xml:space="preserve">(Beijersbergen et al., 2014; Sargeant et al., 2026)</w:t>
      </w:r>
      <w:r>
        <w:rPr>
          <w:rFonts w:ascii="David" w:cs="David" w:eastAsia="David" w:hAnsi="David"/>
          <w:sz w:val="24"/>
          <w:szCs w:val="24"/>
          <w:rtl/>
        </w:rPr>
        <w:t xml:space="preserve">. מאחר שמדובר בניתוח משני, לא ניתן היה להוסיף פריטים לשאלון או לשלב ראיונות, ולכן לא התאפשר מחקר משולב שהיה יכול להסביר מדוע אסירים במצוקה תופסים את הסגל כפחות לגיטימי. הקובץ גם אינו מאפשר להבחין בין בתי סוהר ובין אגפים, ואילו המחקר האנגלי הראה שחלק מהשונות בלגיטימיות נמצא ברמת המוסד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המחקר גם לא פיקח על משתני רקע כמו גיל ומספר מאסרים, שעשויים להיות קשורים לשני המשתנים. לבסוף, מהימנות סולם הלגיטימיות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מהמקובל, וסולם של שלושה פריטים אינו מכסה את כל מרכיבי הצדק הפרוצדורלי.</w:t>
      </w:r>
    </w:p>
    <w:p>
      <w:pPr>
        <w:bidi/>
        <w:spacing w:after="120" w:line="360"/>
        <w:ind w:firstLine="567"/>
        <w:jc w:val="both"/>
      </w:pPr>
      <w:r>
        <w:rPr>
          <w:rFonts w:ascii="David" w:cs="David" w:eastAsia="David" w:hAnsi="David"/>
          <w:sz w:val="24"/>
          <w:szCs w:val="24"/>
          <w:rtl/>
        </w:rPr>
        <w:t xml:space="preserve">המגבלה השלישית היא היקף האוכלוסייה והמדידה. המחקר עוסק באסירים פליליים ישראלים שפוטים בלבד, ואינו מייצג עצורים, אסירים ביטחוניים או אסירות, שמספרן במדגם קטן מכדי לנתחן בנפרד. שני המשתנים נמדדו בדיווח עצמי בשאלון שהועבר על ידי מנהלי האגפים וקציני החינוך, ובסביבת כליאה יש לחשוש מרצייה חברתית ומחשש של אסירים לדווח על יחס הסגל, גם כשהשאלון אנונימי. הממוצע הגבוה של הלגיטימיות והטיית ההתפלגות שמאלה עשויים לשקף חשש כזה.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הצביעו על חוסר אמון בסגל כתופעה רווחת, וייתכן שאותו חוסר אמון משפיע גם על הנכונות להשיב בכנות.</w:t>
      </w:r>
    </w:p>
    <w:p>
      <w:pPr>
        <w:pStyle w:val="Heading1"/>
        <w:pageBreakBefore/>
        <w:bidi/>
        <w:spacing w:after="240" w:before="0" w:line="360"/>
        <w:jc w:val="right"/>
      </w:pPr>
      <w:r>
        <w:rPr>
          <w:rFonts w:ascii="David" w:cs="David" w:eastAsia="David" w:hAnsi="David"/>
          <w:b/>
          <w:bCs/>
          <w:sz w:val="32"/>
          <w:szCs w:val="32"/>
          <w:rtl/>
        </w:rPr>
        <w:t xml:space="preserve">סיכום</w:t>
      </w:r>
    </w:p>
    <w:p>
      <w:pPr>
        <w:bidi/>
        <w:spacing w:after="120" w:line="360"/>
        <w:ind w:firstLine="567"/>
        <w:jc w:val="both"/>
      </w:pPr>
      <w:r>
        <w:rPr>
          <w:rFonts w:ascii="David" w:cs="David" w:eastAsia="David" w:hAnsi="David"/>
          <w:sz w:val="24"/>
          <w:szCs w:val="24"/>
          <w:rtl/>
        </w:rPr>
        <w:t xml:space="preserve">העבודה בחנה את הקשר בין רווחה נפשית לבין תפיסת הלגיטימיות של סגל הכליאה בקרב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אסירים שפוטים, על בסיס נתונים סינתטיים המבוססים על סקר תנאי המחיה של שירות בתי הסוהר. סקירת הספרות הציגה את המודל של הצדק הפרוצדורלי ואת ספרות ההסתגלות למאסר, ומהן נגזרה השערת המחקר. הניתוח כלל סטטיסטיקה תיאורית, בדיקת מהימנות, מתאמים והשוואת ממוצעים בין רמות לגיטימיות. נמצא קשר חיובי מובהק בעוצמה בינונית בין רווחה נפשית ללגיטימיות, בכל שלושת פריטי הסולם, ופער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רמת הלגיטימיות הנמוכה לגבוהה. הממצאים תואמים את המחקרים מהולנד, מאנגליה, מאוסטרליה ומארצות הברית, ומצביעים על כך שרווחתו הנפשית של השפוט אינה עניין טיפולי בלבד אלא מרכיב בסדר ובציות באגף. ההמלצות המעשיות, סינון רווחה נפשית בקליטה ואחריה, שעת קבלה שבועית של סוהרי האגף, הכשרה בצדק פרוצדורלי ומדידה שנתית ברמת האגף, ממתינות לבדיקה בנתונים אמיתיים ובמערך אורך.</w:t>
      </w:r>
    </w:p>
    <w:p>
      <w:pPr>
        <w:pStyle w:val="Heading1"/>
        <w:pageBreakBefore/>
        <w:bidi/>
        <w:spacing w:after="240" w:before="0" w:line="360"/>
        <w:jc w:val="right"/>
      </w:pPr>
      <w:r>
        <w:rPr>
          <w:rFonts w:ascii="David" w:cs="David" w:eastAsia="David" w:hAnsi="David"/>
          <w:b/>
          <w:bCs/>
          <w:sz w:val="32"/>
          <w:szCs w:val="32"/>
          <w:rtl/>
        </w:rPr>
        <w:t xml:space="preserve">גילוי נאות</w:t>
      </w:r>
    </w:p>
    <w:p>
      <w:pPr>
        <w:bidi/>
        <w:spacing w:after="120" w:line="360"/>
        <w:ind w:firstLine="567"/>
        <w:jc w:val="both"/>
      </w:pPr>
      <w:r>
        <w:rPr>
          <w:rFonts w:ascii="David" w:cs="David" w:eastAsia="David" w:hAnsi="David"/>
          <w:sz w:val="24"/>
          <w:szCs w:val="24"/>
          <w:rtl/>
        </w:rPr>
        <w:t xml:space="preserve">בכתיבת עבודה זו נעשה שימוש בכלי בינה מלאכותית לצורכי עריכה לשונית, עזרה בתרגום התקציר לאנגלית, עזרה בבניית הסינטקס של הניתוחים הסטטיסטיים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ועזרה באיתור מקורות. בחירת שאלות המחקר, קריאת המקורות, הרצת הניתוחים, פירוש הממצאים והמסקנות הם של הכותבות.</w:t>
      </w:r>
    </w:p>
    <w:p>
      <w:pPr>
        <w:bidi/>
        <w:spacing w:after="120" w:line="360"/>
        <w:ind w:firstLine="567"/>
        <w:jc w:val="both"/>
      </w:pPr>
      <w:r>
        <w:rPr>
          <w:rFonts w:ascii="David" w:cs="David" w:eastAsia="David" w:hAnsi="David"/>
          <w:sz w:val="24"/>
          <w:szCs w:val="24"/>
          <w:rtl/>
        </w:rPr>
        <w:t xml:space="preserve">חלוקת העבודה: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המבוא ואת סקירת הספרות;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פרק השיטה ואת פרק הממצאים והריצה את הניתוחים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הדיון, המגבלות והסיכום נכתבו במשותף. </w:t>
      </w:r>
      <w:r>
        <w:rPr>
          <w:rFonts w:ascii="David" w:cs="David" w:eastAsia="David" w:hAnsi="David"/>
          <w:sz w:val="24"/>
          <w:szCs w:val="24"/>
          <w:highlight w:val="yellow"/>
          <w:rtl/>
        </w:rPr>
        <w:t xml:space="preserve">להתאים לחלוקה בפועל.</w:t>
      </w:r>
    </w:p>
    <w:p>
      <w:pPr>
        <w:pStyle w:val="Heading1"/>
        <w:pageBreakBefore/>
        <w:bidi/>
        <w:spacing w:after="240" w:before="0" w:line="360"/>
        <w:jc w:val="right"/>
      </w:pPr>
      <w:r>
        <w:rPr>
          <w:rFonts w:ascii="David" w:cs="David" w:eastAsia="David" w:hAnsi="David"/>
          <w:b/>
          <w:bCs/>
          <w:sz w:val="32"/>
          <w:szCs w:val="32"/>
          <w:rtl/>
        </w:rPr>
        <w:t xml:space="preserve">ביבליוגרפיה</w:t>
      </w:r>
    </w:p>
    <w:p>
      <w:pPr>
        <w:bidi/>
        <w:spacing w:after="120" w:line="360"/>
        <w:ind w:start="709" w:hanging="709"/>
        <w:jc w:val="right"/>
      </w:pPr>
      <w:r>
        <w:rPr>
          <w:rFonts w:ascii="David" w:cs="David" w:eastAsia="David" w:hAnsi="David"/>
          <w:sz w:val="24"/>
          <w:szCs w:val="24"/>
          <w:rtl/>
        </w:rPr>
        <w:t xml:space="preserve">בן צבי, ק' וכרמל, ת' (</w:t>
      </w:r>
      <w:r>
        <w:rPr>
          <w:rFonts w:ascii="Times New Roman" w:cs="Times New Roman" w:eastAsia="Times New Roman" w:hAnsi="Times New Roman"/>
          <w:sz w:val="24"/>
          <w:szCs w:val="24"/>
        </w:rPr>
        <w:t xml:space="preserve">2013</w:t>
      </w:r>
      <w:r>
        <w:rPr>
          <w:rFonts w:ascii="David" w:cs="David" w:eastAsia="David" w:hAnsi="David"/>
          <w:sz w:val="24"/>
          <w:szCs w:val="24"/>
          <w:rtl/>
        </w:rPr>
        <w:t xml:space="preserve">). אלימות כלואה: הקשר בין רמת צפיפות בבתי סוהר פליליים בישראל לרמת האלימות הפיזית. צוהר לבית הסוהר, </w:t>
      </w:r>
      <w:r>
        <w:rPr>
          <w:rFonts w:ascii="Times New Roman" w:cs="Times New Roman" w:eastAsia="Times New Roman" w:hAnsi="Times New Roman"/>
          <w:sz w:val="24"/>
          <w:szCs w:val="24"/>
        </w:rPr>
        <w:t xml:space="preserve">15,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28-44.</w:t>
      </w:r>
    </w:p>
    <w:p>
      <w:pPr>
        <w:bidi/>
        <w:spacing w:after="120" w:line="360"/>
        <w:ind w:start="709" w:hanging="709"/>
        <w:jc w:val="right"/>
      </w:pPr>
      <w:r>
        <w:rPr>
          <w:rFonts w:ascii="David" w:cs="David" w:eastAsia="David" w:hAnsi="David"/>
          <w:sz w:val="24"/>
          <w:szCs w:val="24"/>
          <w:rtl/>
        </w:rPr>
        <w:t xml:space="preserve">דוידסקו, ע' וולק, ד'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תנאי כליאה של אסירים: בין רווחה לנוקשות [סקירת ספרות, פרסום מס' </w:t>
      </w:r>
      <w:r>
        <w:rPr>
          <w:rFonts w:ascii="Times New Roman" w:cs="Times New Roman" w:eastAsia="Times New Roman" w:hAnsi="Times New Roman"/>
          <w:sz w:val="24"/>
          <w:szCs w:val="24"/>
        </w:rPr>
        <w:t xml:space="preserve">LR-02-2015</w:t>
      </w:r>
      <w:r>
        <w:rPr>
          <w:rFonts w:ascii="David" w:cs="David" w:eastAsia="David" w:hAnsi="David"/>
          <w:sz w:val="24"/>
          <w:szCs w:val="24"/>
          <w:rtl/>
        </w:rPr>
        <w:t xml:space="preserve">]. שירות בתי הסוהר, מחלקת מחקר ואסטרטגיה.</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בין שיקום ללגיטימיות: התפקיד של לגיטימיות בקשר שבין שביעות רצון מתנאי המחיה לשביעות רצון מפעילות חטו"ש בקרב כלואים פליליים בישראל.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62-77.</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סקר תנאי מחיה באגפים פליליים: מערך נתונים סינתטי להוראה, ספר משתנים ובנק שאלות מחקר [חומרי קורס]. סמינריון תנאי כליאה של אסירים פליליים בישראל ובעולם, המכללה האקדמית אשקלון.</w:t>
      </w:r>
    </w:p>
    <w:p>
      <w:pPr>
        <w:bidi/>
        <w:spacing w:after="120" w:line="360"/>
        <w:ind w:start="709" w:hanging="709"/>
        <w:jc w:val="right"/>
      </w:pPr>
      <w:r>
        <w:rPr>
          <w:rFonts w:ascii="David" w:cs="David" w:eastAsia="David" w:hAnsi="David"/>
          <w:sz w:val="24"/>
          <w:szCs w:val="24"/>
          <w:rtl/>
        </w:rPr>
        <w:t xml:space="preserve">יכימוביץ-כהן, נ'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סוגיות בכליאה בישראל. הכנסת, מרכז המחקר והמידע.</w:t>
      </w:r>
    </w:p>
    <w:p>
      <w:pPr>
        <w:spacing w:after="120" w:line="360"/>
        <w:ind w:left="709" w:hanging="709"/>
        <w:jc w:val="left"/>
      </w:pPr>
      <w:r>
        <w:rPr>
          <w:rFonts w:ascii="Times New Roman" w:cs="Times New Roman" w:eastAsia="Times New Roman" w:hAnsi="Times New Roman"/>
          <w:i w:val="false"/>
          <w:iCs w:val="false"/>
          <w:sz w:val="24"/>
          <w:szCs w:val="24"/>
        </w:rPr>
        <w:t xml:space="preserve">Abderhalden, F. P., &amp; Alward, L. (2024). Jailed individuals' perceptions of procedural justice and suicidal ideation: An empirical examination. </w:t>
      </w:r>
      <w:r>
        <w:rPr>
          <w:rFonts w:ascii="Times New Roman" w:cs="Times New Roman" w:eastAsia="Times New Roman" w:hAnsi="Times New Roman"/>
          <w:i/>
          <w:iCs/>
          <w:sz w:val="24"/>
          <w:szCs w:val="24"/>
        </w:rPr>
        <w:t xml:space="preserve">Crime &amp; Delinquency, 70</w:t>
      </w:r>
      <w:r>
        <w:rPr>
          <w:rFonts w:ascii="Times New Roman" w:cs="Times New Roman" w:eastAsia="Times New Roman" w:hAnsi="Times New Roman"/>
          <w:i w:val="false"/>
          <w:iCs w:val="false"/>
          <w:sz w:val="24"/>
          <w:szCs w:val="24"/>
        </w:rPr>
        <w:t xml:space="preserve">(2), 414-440. https://doi.org/10.1177/00111287221106942</w:t>
      </w:r>
    </w:p>
    <w:p>
      <w:pPr>
        <w:spacing w:after="120" w:line="360"/>
        <w:ind w:left="709" w:hanging="709"/>
        <w:jc w:val="left"/>
      </w:pPr>
      <w:r>
        <w:rPr>
          <w:rFonts w:ascii="Times New Roman" w:cs="Times New Roman" w:eastAsia="Times New Roman" w:hAnsi="Times New Roman"/>
          <w:i w:val="false"/>
          <w:iCs w:val="false"/>
          <w:sz w:val="24"/>
          <w:szCs w:val="24"/>
        </w:rPr>
        <w:t xml:space="preserve">Auty, K. M., &amp; Liebling, A. (2024). What is a 'good enough' prison? An empirical analysis of key thresholds using prison moral quality data. </w:t>
      </w:r>
      <w:r>
        <w:rPr>
          <w:rFonts w:ascii="Times New Roman" w:cs="Times New Roman" w:eastAsia="Times New Roman" w:hAnsi="Times New Roman"/>
          <w:i/>
          <w:iCs/>
          <w:sz w:val="24"/>
          <w:szCs w:val="24"/>
        </w:rPr>
        <w:t xml:space="preserve">European Journal of Criminology, 21</w:t>
      </w:r>
      <w:r>
        <w:rPr>
          <w:rFonts w:ascii="Times New Roman" w:cs="Times New Roman" w:eastAsia="Times New Roman" w:hAnsi="Times New Roman"/>
          <w:i w:val="false"/>
          <w:iCs w:val="false"/>
          <w:sz w:val="24"/>
          <w:szCs w:val="24"/>
        </w:rPr>
        <w:t xml:space="preserve">(5), 725-753. https://doi.org/10.1177/14773708241227693</w:t>
      </w:r>
    </w:p>
    <w:p>
      <w:pPr>
        <w:spacing w:after="120" w:line="360"/>
        <w:ind w:left="709" w:hanging="709"/>
        <w:jc w:val="left"/>
      </w:pPr>
      <w:r>
        <w:rPr>
          <w:rFonts w:ascii="Times New Roman" w:cs="Times New Roman" w:eastAsia="Times New Roman" w:hAnsi="Times New Roman"/>
          <w:i w:val="false"/>
          <w:iCs w:val="false"/>
          <w:sz w:val="24"/>
          <w:szCs w:val="24"/>
        </w:rPr>
        <w:t xml:space="preserve">Beijersbergen, K. A., Dirkzwager, A. J. E., Eichelsheim, V. I., van der Laan, P. H., &amp; Nieuwbeerta, P. (2014). Procedural justice and prisoners' mental health problems: A longitudinal study. </w:t>
      </w:r>
      <w:r>
        <w:rPr>
          <w:rFonts w:ascii="Times New Roman" w:cs="Times New Roman" w:eastAsia="Times New Roman" w:hAnsi="Times New Roman"/>
          <w:i/>
          <w:iCs/>
          <w:sz w:val="24"/>
          <w:szCs w:val="24"/>
        </w:rPr>
        <w:t xml:space="preserve">Criminal Behaviour and Mental Health, 24</w:t>
      </w:r>
      <w:r>
        <w:rPr>
          <w:rFonts w:ascii="Times New Roman" w:cs="Times New Roman" w:eastAsia="Times New Roman" w:hAnsi="Times New Roman"/>
          <w:i w:val="false"/>
          <w:iCs w:val="false"/>
          <w:sz w:val="24"/>
          <w:szCs w:val="24"/>
        </w:rPr>
        <w:t xml:space="preserve">(2), 100-112. https://doi.org/10.1002/cbm.1881</w:t>
      </w:r>
    </w:p>
    <w:p>
      <w:pPr>
        <w:spacing w:after="120" w:line="360"/>
        <w:ind w:left="709" w:hanging="709"/>
        <w:jc w:val="left"/>
      </w:pPr>
      <w:r>
        <w:rPr>
          <w:rFonts w:ascii="Times New Roman" w:cs="Times New Roman" w:eastAsia="Times New Roman" w:hAnsi="Times New Roman"/>
          <w:i w:val="false"/>
          <w:iCs w:val="false"/>
          <w:sz w:val="24"/>
          <w:szCs w:val="24"/>
        </w:rPr>
        <w:t xml:space="preserve">Beijersbergen, K. A., Dirkzwager, A. J. E., Molleman, T., van der Laan, P. H., &amp; Nieuwbeerta, P. (2015). Procedural justice in prison: The importance of staff characteristics. </w:t>
      </w:r>
      <w:r>
        <w:rPr>
          <w:rFonts w:ascii="Times New Roman" w:cs="Times New Roman" w:eastAsia="Times New Roman" w:hAnsi="Times New Roman"/>
          <w:i/>
          <w:iCs/>
          <w:sz w:val="24"/>
          <w:szCs w:val="24"/>
        </w:rPr>
        <w:t xml:space="preserve">International Journal of Offender Therapy and Comparative Criminology, 59</w:t>
      </w:r>
      <w:r>
        <w:rPr>
          <w:rFonts w:ascii="Times New Roman" w:cs="Times New Roman" w:eastAsia="Times New Roman" w:hAnsi="Times New Roman"/>
          <w:i w:val="false"/>
          <w:iCs w:val="false"/>
          <w:sz w:val="24"/>
          <w:szCs w:val="24"/>
        </w:rPr>
        <w:t xml:space="preserve">(4), 337-358. https://doi.org/10.1177/0306624X13512767</w:t>
      </w:r>
    </w:p>
    <w:p>
      <w:pPr>
        <w:spacing w:after="120" w:line="360"/>
        <w:ind w:left="709" w:hanging="709"/>
        <w:jc w:val="left"/>
      </w:pPr>
      <w:r>
        <w:rPr>
          <w:rFonts w:ascii="Times New Roman" w:cs="Times New Roman" w:eastAsia="Times New Roman" w:hAnsi="Times New Roman"/>
          <w:i w:val="false"/>
          <w:iCs w:val="false"/>
          <w:sz w:val="24"/>
          <w:szCs w:val="24"/>
        </w:rPr>
        <w:t xml:space="preserve">Brunton-Smith, I., &amp; McCarthy, D. J. (2016). Prison legitimacy and procedural fairness: A multilevel examination of prisoners in England and Wales. </w:t>
      </w:r>
      <w:r>
        <w:rPr>
          <w:rFonts w:ascii="Times New Roman" w:cs="Times New Roman" w:eastAsia="Times New Roman" w:hAnsi="Times New Roman"/>
          <w:i/>
          <w:iCs/>
          <w:sz w:val="24"/>
          <w:szCs w:val="24"/>
        </w:rPr>
        <w:t xml:space="preserve">Justice Quarterly, 33</w:t>
      </w:r>
      <w:r>
        <w:rPr>
          <w:rFonts w:ascii="Times New Roman" w:cs="Times New Roman" w:eastAsia="Times New Roman" w:hAnsi="Times New Roman"/>
          <w:i w:val="false"/>
          <w:iCs w:val="false"/>
          <w:sz w:val="24"/>
          <w:szCs w:val="24"/>
        </w:rPr>
        <w:t xml:space="preserve">(6), 1029-1054. https://doi.org/10.1080/07418825.2015.1023215</w:t>
      </w:r>
    </w:p>
    <w:p>
      <w:pPr>
        <w:spacing w:after="120" w:line="360"/>
        <w:ind w:left="709" w:hanging="709"/>
        <w:jc w:val="left"/>
      </w:pPr>
      <w:r>
        <w:rPr>
          <w:rFonts w:ascii="Times New Roman" w:cs="Times New Roman" w:eastAsia="Times New Roman" w:hAnsi="Times New Roman"/>
          <w:i w:val="false"/>
          <w:iCs w:val="false"/>
          <w:sz w:val="24"/>
          <w:szCs w:val="24"/>
        </w:rPr>
        <w:t xml:space="preserve">Franke, D., Bierie, D., &amp; MacKenzie, D. L. (2010). Legitimacy in corrections: A randomized experiment comparing a boot camp with a prison. </w:t>
      </w:r>
      <w:r>
        <w:rPr>
          <w:rFonts w:ascii="Times New Roman" w:cs="Times New Roman" w:eastAsia="Times New Roman" w:hAnsi="Times New Roman"/>
          <w:i/>
          <w:iCs/>
          <w:sz w:val="24"/>
          <w:szCs w:val="24"/>
        </w:rPr>
        <w:t xml:space="preserve">Criminology &amp; Public Policy, 9</w:t>
      </w:r>
      <w:r>
        <w:rPr>
          <w:rFonts w:ascii="Times New Roman" w:cs="Times New Roman" w:eastAsia="Times New Roman" w:hAnsi="Times New Roman"/>
          <w:i w:val="false"/>
          <w:iCs w:val="false"/>
          <w:sz w:val="24"/>
          <w:szCs w:val="24"/>
        </w:rPr>
        <w:t xml:space="preserve">(1), 89-117. https://doi.org/10.1111/j.1745-9133.2010.00613.x</w:t>
      </w:r>
    </w:p>
    <w:p>
      <w:pPr>
        <w:spacing w:after="120" w:line="360"/>
        <w:ind w:left="709" w:hanging="709"/>
        <w:jc w:val="left"/>
      </w:pPr>
      <w:r>
        <w:rPr>
          <w:rFonts w:ascii="Times New Roman" w:cs="Times New Roman" w:eastAsia="Times New Roman" w:hAnsi="Times New Roman"/>
          <w:i w:val="false"/>
          <w:iCs w:val="false"/>
          <w:sz w:val="24"/>
          <w:szCs w:val="24"/>
        </w:rPr>
        <w:t xml:space="preserve">Hacin, R., &amp; Meško, G. (2018). Prisoners' perception of legitimacy of the prison staff: A qualitative study in Slovene prisons. </w:t>
      </w:r>
      <w:r>
        <w:rPr>
          <w:rFonts w:ascii="Times New Roman" w:cs="Times New Roman" w:eastAsia="Times New Roman" w:hAnsi="Times New Roman"/>
          <w:i/>
          <w:iCs/>
          <w:sz w:val="24"/>
          <w:szCs w:val="24"/>
        </w:rPr>
        <w:t xml:space="preserve">International Journal of Offender Therapy and Comparative Criminology, 62</w:t>
      </w:r>
      <w:r>
        <w:rPr>
          <w:rFonts w:ascii="Times New Roman" w:cs="Times New Roman" w:eastAsia="Times New Roman" w:hAnsi="Times New Roman"/>
          <w:i w:val="false"/>
          <w:iCs w:val="false"/>
          <w:sz w:val="24"/>
          <w:szCs w:val="24"/>
        </w:rPr>
        <w:t xml:space="preserve">(13), 4332-4350. https://doi.org/10.1177/0306624X18758896</w:t>
      </w:r>
    </w:p>
    <w:p>
      <w:pPr>
        <w:spacing w:after="120" w:line="360"/>
        <w:ind w:left="709" w:hanging="709"/>
        <w:jc w:val="left"/>
      </w:pPr>
      <w:r>
        <w:rPr>
          <w:rFonts w:ascii="Times New Roman" w:cs="Times New Roman" w:eastAsia="Times New Roman" w:hAnsi="Times New Roman"/>
          <w:i w:val="false"/>
          <w:iCs w:val="false"/>
          <w:sz w:val="24"/>
          <w:szCs w:val="24"/>
        </w:rPr>
        <w:t xml:space="preserve">Horowitz, V. L., &amp; Hyatt, J. M. (2025). Trusting relationships in prison and well-being after release. </w:t>
      </w:r>
      <w:r>
        <w:rPr>
          <w:rFonts w:ascii="Times New Roman" w:cs="Times New Roman" w:eastAsia="Times New Roman" w:hAnsi="Times New Roman"/>
          <w:i/>
          <w:iCs/>
          <w:sz w:val="24"/>
          <w:szCs w:val="24"/>
        </w:rPr>
        <w:t xml:space="preserve">International Journal of Law, Crime and Justice, 82</w:t>
      </w:r>
      <w:r>
        <w:rPr>
          <w:rFonts w:ascii="Times New Roman" w:cs="Times New Roman" w:eastAsia="Times New Roman" w:hAnsi="Times New Roman"/>
          <w:i w:val="false"/>
          <w:iCs w:val="false"/>
          <w:sz w:val="24"/>
          <w:szCs w:val="24"/>
        </w:rPr>
        <w:t xml:space="preserve">, Article 100755. https://www.sciencedirect.com/science/article/pii/S2666560325001513</w:t>
      </w:r>
    </w:p>
    <w:p>
      <w:pPr>
        <w:spacing w:after="120" w:line="360"/>
        <w:ind w:left="709" w:hanging="709"/>
        <w:jc w:val="left"/>
      </w:pPr>
      <w:r>
        <w:rPr>
          <w:rFonts w:ascii="Times New Roman" w:cs="Times New Roman" w:eastAsia="Times New Roman" w:hAnsi="Times New Roman"/>
          <w:i w:val="false"/>
          <w:iCs w:val="false"/>
          <w:sz w:val="24"/>
          <w:szCs w:val="24"/>
        </w:rPr>
        <w:t xml:space="preserve">Liebling, A. (2004). </w:t>
      </w:r>
      <w:r>
        <w:rPr>
          <w:rFonts w:ascii="Times New Roman" w:cs="Times New Roman" w:eastAsia="Times New Roman" w:hAnsi="Times New Roman"/>
          <w:i/>
          <w:iCs/>
          <w:sz w:val="24"/>
          <w:szCs w:val="24"/>
        </w:rPr>
        <w:t xml:space="preserve">Prisons and their moral performance: A study of values, quality, and prison life</w:t>
      </w:r>
      <w:r>
        <w:rPr>
          <w:rFonts w:ascii="Times New Roman" w:cs="Times New Roman" w:eastAsia="Times New Roman" w:hAnsi="Times New Roman"/>
          <w:i w:val="false"/>
          <w:iCs w:val="false"/>
          <w:sz w:val="24"/>
          <w:szCs w:val="24"/>
        </w:rPr>
        <w:t xml:space="preserve">. Oxford University Press.</w:t>
      </w:r>
    </w:p>
    <w:p>
      <w:pPr>
        <w:spacing w:after="120" w:line="360"/>
        <w:ind w:left="709" w:hanging="709"/>
        <w:jc w:val="left"/>
      </w:pPr>
      <w:r>
        <w:rPr>
          <w:rFonts w:ascii="Times New Roman" w:cs="Times New Roman" w:eastAsia="Times New Roman" w:hAnsi="Times New Roman"/>
          <w:i w:val="false"/>
          <w:iCs w:val="false"/>
          <w:sz w:val="24"/>
          <w:szCs w:val="24"/>
        </w:rPr>
        <w:t xml:space="preserve">Liebling, A., &amp; Maruna, S. (Eds.). (2005). </w:t>
      </w:r>
      <w:r>
        <w:rPr>
          <w:rFonts w:ascii="Times New Roman" w:cs="Times New Roman" w:eastAsia="Times New Roman" w:hAnsi="Times New Roman"/>
          <w:i/>
          <w:iCs/>
          <w:sz w:val="24"/>
          <w:szCs w:val="24"/>
        </w:rPr>
        <w:t xml:space="preserve">The effects of imprisonment</w:t>
      </w:r>
      <w:r>
        <w:rPr>
          <w:rFonts w:ascii="Times New Roman" w:cs="Times New Roman" w:eastAsia="Times New Roman" w:hAnsi="Times New Roman"/>
          <w:i w:val="false"/>
          <w:iCs w:val="false"/>
          <w:sz w:val="24"/>
          <w:szCs w:val="24"/>
        </w:rPr>
        <w:t xml:space="preserve">. Willan.</w:t>
      </w:r>
    </w:p>
    <w:p>
      <w:pPr>
        <w:spacing w:after="120" w:line="360"/>
        <w:ind w:left="709" w:hanging="709"/>
        <w:jc w:val="left"/>
      </w:pPr>
      <w:r>
        <w:rPr>
          <w:rFonts w:ascii="Times New Roman" w:cs="Times New Roman" w:eastAsia="Times New Roman" w:hAnsi="Times New Roman"/>
          <w:i w:val="false"/>
          <w:iCs w:val="false"/>
          <w:sz w:val="24"/>
          <w:szCs w:val="24"/>
        </w:rPr>
        <w:t xml:space="preserve">Ryan, C., &amp; Bergin, M. (2022). Procedural justice and legitimacy in prisons: A review of extant empirical literature. </w:t>
      </w:r>
      <w:r>
        <w:rPr>
          <w:rFonts w:ascii="Times New Roman" w:cs="Times New Roman" w:eastAsia="Times New Roman" w:hAnsi="Times New Roman"/>
          <w:i/>
          <w:iCs/>
          <w:sz w:val="24"/>
          <w:szCs w:val="24"/>
        </w:rPr>
        <w:t xml:space="preserve">Criminal Justice and Behavior, 49</w:t>
      </w:r>
      <w:r>
        <w:rPr>
          <w:rFonts w:ascii="Times New Roman" w:cs="Times New Roman" w:eastAsia="Times New Roman" w:hAnsi="Times New Roman"/>
          <w:i w:val="false"/>
          <w:iCs w:val="false"/>
          <w:sz w:val="24"/>
          <w:szCs w:val="24"/>
        </w:rPr>
        <w:t xml:space="preserve">(2), 143-163. https://doi.org/10.1177/00938548211053367</w:t>
      </w:r>
    </w:p>
    <w:p>
      <w:pPr>
        <w:spacing w:after="120" w:line="360"/>
        <w:ind w:left="709" w:hanging="709"/>
        <w:jc w:val="left"/>
      </w:pPr>
      <w:r>
        <w:rPr>
          <w:rFonts w:ascii="Times New Roman" w:cs="Times New Roman" w:eastAsia="Times New Roman" w:hAnsi="Times New Roman"/>
          <w:i w:val="false"/>
          <w:iCs w:val="false"/>
          <w:sz w:val="24"/>
          <w:szCs w:val="24"/>
        </w:rPr>
        <w:t xml:space="preserve">Sargeant, E., Murphy, K., Barkworth, J., &amp; Howard, M. v. A. (2026). Procedural justice and mental well-being in prisons: The mediating roles of staff relationships and prison safety. </w:t>
      </w:r>
      <w:r>
        <w:rPr>
          <w:rFonts w:ascii="Times New Roman" w:cs="Times New Roman" w:eastAsia="Times New Roman" w:hAnsi="Times New Roman"/>
          <w:i/>
          <w:iCs/>
          <w:sz w:val="24"/>
          <w:szCs w:val="24"/>
        </w:rPr>
        <w:t xml:space="preserve">Criminal Justice and Behavior</w:t>
      </w:r>
      <w:r>
        <w:rPr>
          <w:rFonts w:ascii="Times New Roman" w:cs="Times New Roman" w:eastAsia="Times New Roman" w:hAnsi="Times New Roman"/>
          <w:i w:val="false"/>
          <w:iCs w:val="false"/>
          <w:sz w:val="24"/>
          <w:szCs w:val="24"/>
        </w:rPr>
        <w:t xml:space="preserve">. Advance online publication. https://doi.org/10.1177/00938548251400649</w:t>
      </w:r>
    </w:p>
    <w:p>
      <w:pPr>
        <w:spacing w:after="120" w:line="360"/>
        <w:ind w:left="709" w:hanging="709"/>
        <w:jc w:val="left"/>
      </w:pPr>
      <w:r>
        <w:rPr>
          <w:rFonts w:ascii="Times New Roman" w:cs="Times New Roman" w:eastAsia="Times New Roman" w:hAnsi="Times New Roman"/>
          <w:i w:val="false"/>
          <w:iCs w:val="false"/>
          <w:sz w:val="24"/>
          <w:szCs w:val="24"/>
        </w:rPr>
        <w:t xml:space="preserve">Sparks, J. R., &amp; Bottoms, A. E. (1995). Legitimacy and order in prisons. </w:t>
      </w:r>
      <w:r>
        <w:rPr>
          <w:rFonts w:ascii="Times New Roman" w:cs="Times New Roman" w:eastAsia="Times New Roman" w:hAnsi="Times New Roman"/>
          <w:i/>
          <w:iCs/>
          <w:sz w:val="24"/>
          <w:szCs w:val="24"/>
        </w:rPr>
        <w:t xml:space="preserve">British Journal of Sociology, 46</w:t>
      </w:r>
      <w:r>
        <w:rPr>
          <w:rFonts w:ascii="Times New Roman" w:cs="Times New Roman" w:eastAsia="Times New Roman" w:hAnsi="Times New Roman"/>
          <w:i w:val="false"/>
          <w:iCs w:val="false"/>
          <w:sz w:val="24"/>
          <w:szCs w:val="24"/>
        </w:rPr>
        <w:t xml:space="preserve">(1), 45-62. https://doi.org/10.2307/591622</w:t>
      </w:r>
    </w:p>
    <w:p>
      <w:pPr>
        <w:spacing w:after="120" w:line="360"/>
        <w:ind w:left="709" w:hanging="709"/>
        <w:jc w:val="left"/>
      </w:pPr>
      <w:r>
        <w:rPr>
          <w:rFonts w:ascii="Times New Roman" w:cs="Times New Roman" w:eastAsia="Times New Roman" w:hAnsi="Times New Roman"/>
          <w:i w:val="false"/>
          <w:iCs w:val="false"/>
          <w:sz w:val="24"/>
          <w:szCs w:val="24"/>
        </w:rPr>
        <w:t xml:space="preserve">Sykes, G. M. (1958). </w:t>
      </w:r>
      <w:r>
        <w:rPr>
          <w:rFonts w:ascii="Times New Roman" w:cs="Times New Roman" w:eastAsia="Times New Roman" w:hAnsi="Times New Roman"/>
          <w:i/>
          <w:iCs/>
          <w:sz w:val="24"/>
          <w:szCs w:val="24"/>
        </w:rPr>
        <w:t xml:space="preserve">The society of captives: A study of a maximum security prison</w:t>
      </w:r>
      <w:r>
        <w:rPr>
          <w:rFonts w:ascii="Times New Roman" w:cs="Times New Roman" w:eastAsia="Times New Roman" w:hAnsi="Times New Roman"/>
          <w:i w:val="false"/>
          <w:iCs w:val="false"/>
          <w:sz w:val="24"/>
          <w:szCs w:val="24"/>
        </w:rPr>
        <w:t xml:space="preserve">. Princeton University Press.</w:t>
      </w:r>
    </w:p>
    <w:p>
      <w:pPr>
        <w:spacing w:after="120" w:line="360"/>
        <w:ind w:left="709" w:hanging="709"/>
        <w:jc w:val="left"/>
      </w:pPr>
      <w:r>
        <w:rPr>
          <w:rFonts w:ascii="Times New Roman" w:cs="Times New Roman" w:eastAsia="Times New Roman" w:hAnsi="Times New Roman"/>
          <w:i w:val="false"/>
          <w:iCs w:val="false"/>
          <w:sz w:val="24"/>
          <w:szCs w:val="24"/>
        </w:rPr>
        <w:t xml:space="preserve">Tyler, T. R. (1990). </w:t>
      </w:r>
      <w:r>
        <w:rPr>
          <w:rFonts w:ascii="Times New Roman" w:cs="Times New Roman" w:eastAsia="Times New Roman" w:hAnsi="Times New Roman"/>
          <w:i/>
          <w:iCs/>
          <w:sz w:val="24"/>
          <w:szCs w:val="24"/>
        </w:rPr>
        <w:t xml:space="preserve">Why people obey the law</w:t>
      </w:r>
      <w:r>
        <w:rPr>
          <w:rFonts w:ascii="Times New Roman" w:cs="Times New Roman" w:eastAsia="Times New Roman" w:hAnsi="Times New Roman"/>
          <w:i w:val="false"/>
          <w:iCs w:val="false"/>
          <w:sz w:val="24"/>
          <w:szCs w:val="24"/>
        </w:rPr>
        <w:t xml:space="preserve">. Yale University Press.</w:t>
      </w:r>
    </w:p>
    <w:p>
      <w:pPr>
        <w:spacing w:after="120" w:line="360"/>
        <w:ind w:left="709" w:hanging="709"/>
        <w:jc w:val="left"/>
      </w:pPr>
      <w:r>
        <w:rPr>
          <w:rFonts w:ascii="Times New Roman" w:cs="Times New Roman" w:eastAsia="Times New Roman" w:hAnsi="Times New Roman"/>
          <w:i w:val="false"/>
          <w:iCs w:val="false"/>
          <w:sz w:val="24"/>
          <w:szCs w:val="24"/>
        </w:rPr>
        <w:t xml:space="preserve">Van Ginneken, E. F. J. C., Palmen, H., Bosma, A. Q., &amp; Sentse, M. (2019). Bearing the weight of imprisonment: The relationship between prison climate and well-being. </w:t>
      </w:r>
      <w:r>
        <w:rPr>
          <w:rFonts w:ascii="Times New Roman" w:cs="Times New Roman" w:eastAsia="Times New Roman" w:hAnsi="Times New Roman"/>
          <w:i/>
          <w:iCs/>
          <w:sz w:val="24"/>
          <w:szCs w:val="24"/>
        </w:rPr>
        <w:t xml:space="preserve">Criminal Justice and Behavior, 46</w:t>
      </w:r>
      <w:r>
        <w:rPr>
          <w:rFonts w:ascii="Times New Roman" w:cs="Times New Roman" w:eastAsia="Times New Roman" w:hAnsi="Times New Roman"/>
          <w:i w:val="false"/>
          <w:iCs w:val="false"/>
          <w:sz w:val="24"/>
          <w:szCs w:val="24"/>
        </w:rPr>
        <w:t xml:space="preserve">(10), 1385-1404. https://doi.org/10.1177/0093854819867373</w:t>
      </w:r>
    </w:p>
    <w:p>
      <w:pPr>
        <w:spacing w:after="120" w:line="360"/>
        <w:ind w:left="709" w:hanging="709"/>
        <w:jc w:val="left"/>
      </w:pPr>
      <w:r>
        <w:rPr>
          <w:rFonts w:ascii="Times New Roman" w:cs="Times New Roman" w:eastAsia="Times New Roman" w:hAnsi="Times New Roman"/>
          <w:i w:val="false"/>
          <w:iCs w:val="false"/>
          <w:sz w:val="24"/>
          <w:szCs w:val="24"/>
        </w:rPr>
        <w:t xml:space="preserve">van Hall, M., Baker, T., Nieuwbeerta, P., &amp; Dirkzwager, A. J. E. (2025). Procedural justice spill-over and recidivism after release from prison. </w:t>
      </w:r>
      <w:r>
        <w:rPr>
          <w:rFonts w:ascii="Times New Roman" w:cs="Times New Roman" w:eastAsia="Times New Roman" w:hAnsi="Times New Roman"/>
          <w:i/>
          <w:iCs/>
          <w:sz w:val="24"/>
          <w:szCs w:val="24"/>
        </w:rPr>
        <w:t xml:space="preserve">Crime &amp; Delinquency</w:t>
      </w:r>
      <w:r>
        <w:rPr>
          <w:rFonts w:ascii="Times New Roman" w:cs="Times New Roman" w:eastAsia="Times New Roman" w:hAnsi="Times New Roman"/>
          <w:i w:val="false"/>
          <w:iCs w:val="false"/>
          <w:sz w:val="24"/>
          <w:szCs w:val="24"/>
        </w:rPr>
        <w:t xml:space="preserve">. Advance online publication. https://doi.org/10.1177/00111287241248104</w:t>
      </w:r>
    </w:p>
    <w:p>
      <w:pPr>
        <w:pStyle w:val="Heading1"/>
        <w:pageBreakBefore/>
        <w:bidi/>
        <w:spacing w:after="240" w:before="0" w:line="360"/>
        <w:jc w:val="right"/>
      </w:pPr>
      <w:r>
        <w:rPr>
          <w:rFonts w:ascii="David" w:cs="David" w:eastAsia="David" w:hAnsi="David"/>
          <w:b/>
          <w:bCs/>
          <w:sz w:val="32"/>
          <w:szCs w:val="32"/>
          <w:rtl/>
        </w:rPr>
        <w:t xml:space="preserve">נספח</w:t>
      </w:r>
    </w:p>
    <w:p>
      <w:pPr>
        <w:pStyle w:val="Heading2"/>
        <w:keepNext/>
        <w:bidi/>
        <w:spacing w:after="120" w:before="240" w:line="360"/>
        <w:jc w:val="right"/>
      </w:pPr>
      <w:r>
        <w:rPr>
          <w:rFonts w:ascii="David" w:cs="David" w:eastAsia="David" w:hAnsi="David"/>
          <w:b/>
          <w:bCs/>
          <w:sz w:val="28"/>
          <w:szCs w:val="28"/>
          <w:rtl/>
        </w:rPr>
        <w:t xml:space="preserve">נספח: פלטי SPSS</w:t>
      </w:r>
    </w:p>
    <w:p>
      <w:pPr>
        <w:bidi/>
        <w:spacing w:after="120" w:line="360"/>
        <w:jc w:val="both"/>
      </w:pPr>
      <w:r>
        <w:rPr>
          <w:rFonts w:ascii="David" w:cs="David" w:eastAsia="David" w:hAnsi="David"/>
          <w:sz w:val="24"/>
          <w:szCs w:val="24"/>
          <w:rtl/>
        </w:rPr>
        <w:t xml:space="preserve">להלן הלוחות המרכזיים מפלט ה-</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(הרצה מיום </w:t>
      </w:r>
      <w:r>
        <w:rPr>
          <w:rFonts w:ascii="Times New Roman" w:cs="Times New Roman" w:eastAsia="Times New Roman" w:hAnsi="Times New Roman"/>
          <w:sz w:val="24"/>
          <w:szCs w:val="24"/>
        </w:rPr>
        <w:t xml:space="preserve">8</w:t>
      </w:r>
      <w:r>
        <w:rPr>
          <w:rFonts w:ascii="David" w:cs="David" w:eastAsia="David" w:hAnsi="David"/>
          <w:sz w:val="24"/>
          <w:szCs w:val="24"/>
          <w:rtl/>
        </w:rPr>
        <w:t xml:space="preserve"> בספטמבר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בעריכה קלה. הפלט המלא, כולל התרשימים, מצורף לעבודה כקובץ נפרד.</w:t>
      </w:r>
    </w:p>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-1</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Crosstabs, inmate</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type</w:t>
      </w:r>
      <w:r>
        <w:rPr>
          <w:rFonts w:ascii="David" w:cs="David" w:eastAsia="David" w:hAnsi="David"/>
          <w:b/>
          <w:bCs/>
          <w:sz w:val="24"/>
          <w:szCs w:val="24"/>
          <w:rtl/>
        </w:rPr>
        <w:t xml:space="preserve"> * סוג האסיר (מקודד)</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1800"/>
        <w:gridCol w:w="1800"/>
        <w:gridCol w:w="16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inmate_type</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עצור פלילי</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פלילי שפוט</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Total</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Total</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-2</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Frequencies, Statistics (Filter: filt</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shafut</w:t>
      </w:r>
      <w:r>
        <w:rPr>
          <w:rFonts w:ascii="David" w:cs="David" w:eastAsia="David" w:hAnsi="David"/>
          <w:b/>
          <w:bCs/>
          <w:sz w:val="24"/>
          <w:szCs w:val="24"/>
          <w:rtl/>
        </w:rPr>
        <w:t xml:space="preserve">)</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800"/>
        <w:gridCol w:w="800"/>
        <w:gridCol w:w="800"/>
        <w:gridCol w:w="800"/>
        <w:gridCol w:w="900"/>
        <w:gridCol w:w="9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 Valid</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Missing</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Median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2.682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1.633</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0.648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-0.155</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-3</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לגיטימיות הסגל </w:t>
      </w:r>
      <w:r>
        <w:rPr>
          <w:rFonts w:ascii="Times New Roman" w:cs="Times New Roman" w:eastAsia="Times New Roman" w:hAnsi="Times New Roman"/>
          <w:b/>
          <w:bCs/>
          <w:sz w:val="24"/>
          <w:szCs w:val="24"/>
        </w:rPr>
        <w:t xml:space="preserve">(Cases Valid 2114, Excluded 265)</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0.666</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12.82 / 6.015 / 2.453</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0.567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0.498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0.162</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0.687</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-4</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רווחה נפשית </w:t>
      </w:r>
      <w:r>
        <w:rPr>
          <w:rFonts w:ascii="Times New Roman" w:cs="Times New Roman" w:eastAsia="Times New Roman" w:hAnsi="Times New Roman"/>
          <w:b/>
          <w:bCs/>
          <w:sz w:val="24"/>
          <w:szCs w:val="24"/>
        </w:rPr>
        <w:t xml:space="preserve">(Cases Valid 2379)</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18.90 / 18.975 / 4.356</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0.801</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0.754</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0.736</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0.429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-5</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Descriptives</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Explore, Tests of Normality</w:t>
      </w:r>
    </w:p>
    <w:tbl>
      <w:tblPr>
        <w:bidiVisual/>
        <w:tblW w:type="dxa" w:w="89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700"/>
        <w:gridCol w:w="700"/>
        <w:gridCol w:w="700"/>
        <w:gridCol w:w="900"/>
        <w:gridCol w:w="900"/>
        <w:gridCol w:w="1200"/>
        <w:gridCol w:w="12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Max</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 (SE)</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 (SE)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(ממוצע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0.82894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-1.159 (0.051)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0.944 (0.101)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(ממוצע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3.7797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0.87119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-0.589 (0.050)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-0.008 (0.100)</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2200"/>
        <w:gridCol w:w="1500"/>
        <w:gridCol w:w="800"/>
        <w:gridCol w:w="900"/>
        <w:gridCol w:w="1400"/>
        <w:gridCol w:w="800"/>
        <w:gridCol w:w="900"/>
      </w:tblGrid>
      <w:tr>
        <w:trPr>
          <w:cantSplit/>
          <w:tblHeader/>
        </w:trPr>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Kolmogorov-Smirnov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Shapiro-Wilk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0.180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0.090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0.955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-6</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Correlations (Pearson)</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Nonparametric Correlations (Spearman)</w:t>
      </w:r>
    </w:p>
    <w:tbl>
      <w:tblPr>
        <w:bidiVisual/>
        <w:tblW w:type="dxa" w:w="82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4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לגיטימיות הסגל</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רווחה נפשית</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2379</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(legitimacy, wellbeing)</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0.340**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(wellbeing with item 1 / 2 / 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0.290 / 0.248 / 0.248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all p &lt; 0.001</w:t>
            </w:r>
          </w:p>
        </w:tc>
      </w:tr>
    </w:tbl>
    <w:p>
      <w:pPr>
        <w:bidi/>
        <w:spacing w:after="200" w:before="60" w:line="276"/>
        <w:jc w:val="right"/>
      </w:pPr>
      <w:r>
        <w:rPr>
          <w:rFonts w:ascii="Times New Roman" w:cs="Times New Roman" w:eastAsia="Times New Roman" w:hAnsi="Times New Roman"/>
          <w:sz w:val="20"/>
          <w:szCs w:val="20"/>
        </w:rPr>
        <w:t xml:space="preserve">**. Correlation is significant at the 0.01 level (2-tailed).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tl/>
    </w:rPr>
  </w:style>
  <w:style w:type="paragraph" w:styleId="Heading2">
    <w:name w:val="Heading 2"/>
    <w:basedOn w:val="Normal"/>
    <w:next w:val="Normal"/>
    <w:qFormat/>
    <w:pPr>
      <w:outlineLvl w:val="1"/>
    </w:pPr>
    <w:rPr>
      <w:rFonts w:ascii="David" w:cs="David" w:eastAsia="David" w:hAnsi="David"/>
      <w:b/>
      <w:bCs/>
      <w:sz w:val="28"/>
      <w:szCs w:val="28"/>
      <w:rtl/>
    </w:rPr>
  </w:style>
  <w:style w:type="paragraph" w:styleId="Heading3">
    <w:name w:val="Heading 3"/>
    <w:basedOn w:val="Normal"/>
    <w:next w:val="Normal"/>
    <w:qFormat/>
    <w:pPr>
      <w:outlineLvl w:val="2"/>
    </w:pPr>
    <w:rPr>
      <w:rFonts w:ascii="David" w:cs="David" w:eastAsia="David" w:hAnsi="David"/>
      <w:b/>
      <w:bCs/>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רווחה נפשית ותפיסת הלגיטימיות של סגל הכליאה בקרב אסירים שפוטים בישראל</dc:title>
  <cp:lastModifiedBy>Un-named</cp:lastModifiedBy>
  <cp:revision>1</cp:revision>
  <dcterms:created xsi:type="dcterms:W3CDTF">2026-09-09T13:23:44.660Z</dcterms:created>
  <dcterms:modified xsi:type="dcterms:W3CDTF">2026-09-09T13:23:44.660Z</dcterms:modified>
</cp:coreProperties>
</file>

<file path=docProps/custom.xml><?xml version="1.0" encoding="utf-8"?>
<Properties xmlns="http://schemas.openxmlformats.org/officeDocument/2006/custom-properties" xmlns:vt="http://schemas.openxmlformats.org/officeDocument/2006/docPropsVTypes"/>
</file>