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drawing>
          <wp:inline xmlns:a="http://schemas.openxmlformats.org/drawingml/2006/main" xmlns:pic="http://schemas.openxmlformats.org/drawingml/2006/picture">
            <wp:extent cx="1512000" cy="1434375"/>
            <wp:docPr id="1" name="Picture 1"/>
            <wp:cNvGraphicFramePr>
              <a:graphicFrameLocks noChangeAspect="1"/>
            </wp:cNvGraphicFramePr>
            <a:graphic>
              <a:graphicData uri="http://schemas.openxmlformats.org/drawingml/2006/picture">
                <pic:pic>
                  <pic:nvPicPr>
                    <pic:cNvPr id="0" name="a9358c19-IMG_7949.jpeg"/>
                    <pic:cNvPicPr/>
                  </pic:nvPicPr>
                  <pic:blipFill>
                    <a:blip r:embed="rId10"/>
                    <a:stretch>
                      <a:fillRect/>
                    </a:stretch>
                  </pic:blipFill>
                  <pic:spPr>
                    <a:xfrm>
                      <a:off x="0" y="0"/>
                      <a:ext cx="1512000" cy="1434375"/>
                    </a:xfrm>
                    <a:prstGeom prst="rect"/>
                  </pic:spPr>
                </pic:pic>
              </a:graphicData>
            </a:graphic>
          </wp:inline>
        </w:drawing>
      </w:r>
    </w:p>
    <w:p>
      <w:pPr>
        <w:bidi/>
        <w:spacing w:line="360" w:lineRule="auto" w:after="40" w:before="0"/>
        <w:jc w:val="center"/>
      </w:pPr>
      <w:r>
        <w:rPr>
          <w:rFonts w:ascii="David" w:hAnsi="David" w:cs="David"/>
          <w:b/>
          <w:sz w:val="24"/>
          <w:szCs w:val="24"/>
          <w:rtl w:val="1"/>
          <w:bCs/>
        </w:rPr>
        <w:t>המסלול האקדמי, המכללה למנהל</w:t>
      </w:r>
    </w:p>
    <w:p>
      <w:pPr>
        <w:bidi/>
        <w:spacing w:line="360" w:lineRule="auto" w:after="40" w:before="0"/>
        <w:jc w:val="center"/>
      </w:pPr>
      <w:r>
        <w:rPr>
          <w:rFonts w:ascii="David" w:hAnsi="David" w:cs="David"/>
          <w:b w:val="0"/>
          <w:sz w:val="24"/>
          <w:szCs w:val="24"/>
          <w:rtl w:val="1"/>
        </w:rPr>
        <w:t>בית הספר לחינוך</w:t>
      </w:r>
    </w:p>
    <w:p>
      <w:pPr>
        <w:bidi/>
        <w:spacing w:line="360" w:lineRule="auto" w:after="40" w:before="0"/>
        <w:jc w:val="center"/>
      </w:pPr>
      <w:r>
        <w:rPr>
          <w:rFonts w:ascii="David" w:hAnsi="David" w:cs="David"/>
          <w:b w:val="0"/>
          <w:sz w:val="24"/>
          <w:szCs w:val="24"/>
          <w:rtl w:val="1"/>
        </w:rPr>
        <w:t>הקורס: כתיבה ואוריינות אקדמית ב'</w:t>
      </w:r>
    </w:p>
    <w:p>
      <w:pPr>
        <w:bidi/>
        <w:spacing w:line="360" w:lineRule="auto" w:after="40" w:before="0"/>
        <w:jc w:val="center"/>
      </w:pPr>
      <w:r>
        <w:rPr>
          <w:rFonts w:ascii="David" w:hAnsi="David" w:cs="David"/>
          <w:b w:val="0"/>
          <w:sz w:val="24"/>
          <w:szCs w:val="24"/>
          <w:rtl w:val="1"/>
        </w:rPr>
        <w:t>מנחה: ד"ר טל יעקבי</w:t>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120" w:before="0"/>
        <w:jc w:val="center"/>
      </w:pPr>
      <w:r>
        <w:rPr>
          <w:rFonts w:ascii="David" w:hAnsi="David" w:cs="David"/>
          <w:b/>
          <w:sz w:val="36"/>
          <w:szCs w:val="36"/>
          <w:rtl w:val="1"/>
          <w:bCs/>
        </w:rPr>
        <w:t>שיימינג והטרדה ברשתות החברתיות בקרב ילדים ומתבגרים</w:t>
      </w:r>
    </w:p>
    <w:p>
      <w:pPr>
        <w:bidi/>
        <w:spacing w:line="360" w:lineRule="auto" w:after="120" w:before="0"/>
        <w:jc w:val="center"/>
      </w:pPr>
      <w:r>
        <w:rPr>
          <w:rFonts w:ascii="David" w:hAnsi="David" w:cs="David"/>
          <w:b w:val="0"/>
          <w:sz w:val="26"/>
          <w:szCs w:val="26"/>
          <w:rtl w:val="1"/>
        </w:rPr>
        <w:t>מהו היקף השיימינג וההטרדה ברשתות החברתיות בקרב ילדים ומתבגרים, וכיצד הם קשורים לבדידות ולמסוגלות החברתית?</w:t>
      </w:r>
    </w:p>
    <w:p>
      <w:pPr>
        <w:bidi/>
        <w:spacing w:line="360" w:lineRule="auto" w:after="120" w:before="0"/>
        <w:jc w:val="center"/>
      </w:pPr>
      <w:r>
        <w:rPr>
          <w:rFonts w:ascii="David" w:hAnsi="David" w:cs="David"/>
          <w:b w:val="0"/>
          <w:sz w:val="24"/>
          <w:szCs w:val="24"/>
          <w:rtl w:val="1"/>
        </w:rPr>
        <w:t>מאמר תיאורטי קצר</w:t>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80" w:before="0"/>
        <w:jc w:val="center"/>
      </w:pPr>
      <w:r>
        <w:rPr>
          <w:rFonts w:ascii="David" w:hAnsi="David" w:cs="David"/>
          <w:b w:val="0"/>
          <w:sz w:val="24"/>
          <w:szCs w:val="24"/>
          <w:rtl w:val="1"/>
        </w:rPr>
        <w:t>מגיש/ה: ______________________     ת"ז: ______________</w:t>
      </w:r>
    </w:p>
    <w:p>
      <w:pPr>
        <w:bidi/>
        <w:spacing w:line="360" w:lineRule="auto" w:after="80" w:before="0"/>
        <w:jc w:val="center"/>
      </w:pPr>
      <w:r>
        <w:rPr>
          <w:rFonts w:ascii="David" w:hAnsi="David" w:cs="David"/>
          <w:b w:val="0"/>
          <w:sz w:val="24"/>
          <w:szCs w:val="24"/>
          <w:rtl w:val="1"/>
        </w:rPr>
        <w:t>תאריך הגשה: 1 באוגוסט 2026</w:t>
      </w:r>
    </w:p>
    <w:p>
      <w:r>
        <w:br w:type="page"/>
      </w:r>
    </w:p>
    <w:p>
      <w:pPr>
        <w:bidi/>
        <w:spacing w:line="360" w:lineRule="auto" w:after="200" w:before="160"/>
        <w:jc w:val="right"/>
      </w:pPr>
      <w:r>
        <w:rPr>
          <w:rFonts w:ascii="David" w:hAnsi="David" w:cs="David"/>
          <w:b/>
          <w:sz w:val="28"/>
          <w:szCs w:val="28"/>
          <w:rtl w:val="1"/>
          <w:bCs/>
        </w:rPr>
        <w:t>תוכן עניינים</w:t>
      </w:r>
    </w:p>
    <w:p>
      <w:pPr>
        <w:tabs>
          <w:tab w:pos="8787" w:val="left" w:leader="dot"/>
        </w:tabs>
        <w:bidi/>
        <w:spacing w:line="360" w:lineRule="auto" w:after="120"/>
      </w:pPr>
      <w:r>
        <w:rPr>
          <w:rFonts w:ascii="David" w:hAnsi="David" w:cs="David"/>
          <w:b w:val="0"/>
          <w:sz w:val="24"/>
          <w:szCs w:val="24"/>
          <w:rtl w:val="1"/>
        </w:rPr>
        <w:t>מבוא</w:t>
        <w:tab/>
        <w:t>3</w:t>
      </w:r>
    </w:p>
    <w:p>
      <w:pPr>
        <w:tabs>
          <w:tab w:pos="8787" w:val="left" w:leader="dot"/>
        </w:tabs>
        <w:bidi/>
        <w:spacing w:line="360" w:lineRule="auto" w:after="120"/>
      </w:pPr>
      <w:r>
        <w:rPr>
          <w:rFonts w:ascii="David" w:hAnsi="David" w:cs="David"/>
          <w:b w:val="0"/>
          <w:sz w:val="24"/>
          <w:szCs w:val="24"/>
          <w:rtl w:val="1"/>
        </w:rPr>
        <w:t>סקירת ספרות</w:t>
        <w:tab/>
        <w:t>3</w:t>
      </w:r>
    </w:p>
    <w:p>
      <w:pPr>
        <w:tabs>
          <w:tab w:pos="8787" w:val="left" w:leader="dot"/>
        </w:tabs>
        <w:bidi/>
        <w:spacing w:line="360" w:lineRule="auto" w:after="120"/>
      </w:pPr>
      <w:r>
        <w:rPr>
          <w:rFonts w:ascii="David" w:hAnsi="David" w:cs="David"/>
          <w:b w:val="0"/>
          <w:sz w:val="24"/>
          <w:szCs w:val="24"/>
          <w:rtl w:val="1"/>
        </w:rPr>
        <w:t>דיון, סיכום ומסקנות</w:t>
        <w:tab/>
        <w:t>4</w:t>
      </w:r>
    </w:p>
    <w:p>
      <w:pPr>
        <w:tabs>
          <w:tab w:pos="8787" w:val="left" w:leader="dot"/>
        </w:tabs>
        <w:bidi/>
        <w:spacing w:line="360" w:lineRule="auto" w:after="120"/>
      </w:pPr>
      <w:r>
        <w:rPr>
          <w:rFonts w:ascii="David" w:hAnsi="David" w:cs="David"/>
          <w:b w:val="0"/>
          <w:sz w:val="24"/>
          <w:szCs w:val="24"/>
          <w:rtl w:val="1"/>
        </w:rPr>
        <w:t>רשימת מקורות</w:t>
        <w:tab/>
        <w:t>5</w:t>
      </w:r>
    </w:p>
    <w:p>
      <w:pPr>
        <w:tabs>
          <w:tab w:pos="8787" w:val="left" w:leader="dot"/>
        </w:tabs>
        <w:bidi/>
        <w:spacing w:line="360" w:lineRule="auto" w:after="120"/>
      </w:pPr>
      <w:r>
        <w:rPr>
          <w:rFonts w:ascii="David" w:hAnsi="David" w:cs="David"/>
          <w:b w:val="0"/>
          <w:sz w:val="24"/>
          <w:szCs w:val="24"/>
          <w:rtl w:val="1"/>
        </w:rPr>
        <w:t>נספח: סיכום מאמר</w:t>
        <w:tab/>
        <w:t>6</w:t>
      </w:r>
    </w:p>
    <w:p>
      <w:r>
        <w:br w:type="page"/>
      </w:r>
    </w:p>
    <w:p>
      <w:pPr>
        <w:bidi/>
        <w:spacing w:line="360" w:lineRule="auto" w:after="120" w:before="160"/>
        <w:jc w:val="right"/>
      </w:pPr>
      <w:r>
        <w:rPr>
          <w:rFonts w:ascii="David" w:hAnsi="David" w:cs="David"/>
          <w:b/>
          <w:sz w:val="26"/>
          <w:szCs w:val="26"/>
          <w:rtl w:val="1"/>
          <w:bCs/>
        </w:rPr>
        <w:t>מבוא</w:t>
      </w:r>
    </w:p>
    <w:p>
      <w:pPr>
        <w:bidi/>
        <w:spacing w:line="360" w:lineRule="auto" w:after="200" w:before="0"/>
        <w:jc w:val="both"/>
      </w:pPr>
      <w:r>
        <w:rPr>
          <w:rFonts w:ascii="David" w:hAnsi="David" w:cs="David"/>
          <w:b w:val="0"/>
          <w:sz w:val="24"/>
          <w:szCs w:val="24"/>
          <w:rtl w:val="1"/>
        </w:rPr>
        <w:t>הרשתות החברתיות הפכו לזירה מרכזית שבה ילדים ומתבגרים מנהלים חלק ניכר מחייהם החברתיים, ואצל רבים מהם קבוצת הווטסאפ הכיתתית היא לב העניין. חלק גדל והולך מהאינטראקציות החברתיות שלהם מתרחש היום במרחב הווירטואלי, לצד המרחב הממשי ולעיתים במקומו. שם הם משתפים, מגיבים, מקימים קבוצות ומוציאים מהן, וכל זה קורה במהירות ובחשיפה לקהל רחב. לצד ההזדמנויות שהמרחב הזה פותח, הוא חושף אותם גם לשיימינג ולהטרדות שאינם נעצרים בשערי בית הספר אלא מלווים אותם הביתה ואל תוך החדר, בכל שעה של היממה. עבור אנשי חינוך זהו אתגר חדש, משום שהפגיעה מתרחשת הרחק מעיניהם ובכלים שאינם בשליטתם, ולעיתים הם שומעים עליה רק כשהיא כבר הסלימה. עבודה זו בוחנת את השאלה מהו היקף השיימינג וההטרדה ברשתות החברתיות בקרב ילדים ומתבגרים, וכיצד הם קשורים לתחושת הבדידות ולמסוגלות החברתית. הסקירה מתבססת על שלושה מחקרים אמפיריים ונעה מן ההגדרות והתמונה הכללית של התופעה, דרך אוכלוסיות בסיכון, אל ההשלכות החברתיות-רגשיות והלימודיות שלה.</w:t>
      </w:r>
    </w:p>
    <w:p>
      <w:pPr>
        <w:bidi/>
        <w:spacing w:line="360" w:lineRule="auto" w:after="120" w:before="160"/>
        <w:jc w:val="right"/>
      </w:pPr>
      <w:r>
        <w:rPr>
          <w:rFonts w:ascii="David" w:hAnsi="David" w:cs="David"/>
          <w:b/>
          <w:sz w:val="26"/>
          <w:szCs w:val="26"/>
          <w:rtl w:val="1"/>
          <w:bCs/>
        </w:rPr>
        <w:t>סקירת ספרות</w:t>
      </w:r>
    </w:p>
    <w:p>
      <w:pPr>
        <w:bidi/>
        <w:spacing w:line="360" w:lineRule="auto" w:after="200" w:before="0"/>
        <w:jc w:val="both"/>
      </w:pPr>
      <w:r>
        <w:rPr>
          <w:rFonts w:ascii="David" w:hAnsi="David" w:cs="David"/>
          <w:b w:val="0"/>
          <w:sz w:val="24"/>
          <w:szCs w:val="24"/>
          <w:rtl w:val="1"/>
        </w:rPr>
        <w:t>נפתח בהגדרות. רשתות חברתיות הן פלטפורמות מקוונות המאפשרות למשתמשים ליצור פרופיל אישי, לשתף תכנים ולתקשר זה עם זה בקהילה מקוונת. שיימינג, או ביוש, וכן בריונות ברשת, מוגדרים כהתנהגות תוקפנית ומכוונת שמטרתה לפגוע באדם אחר באמצעים דיגיטליים, באופן חוזר ולאורך זמן, כלפי מי שמתקשה להגן על עצמו. מה שמבדיל את הפגיעה ברשת מבריונות מסורתית הוא שילוב של כמה מאפיינים: אנונימיות אפשרית של הפוגע, מהירות ההפצה, קהל צופים רחב, והיעדר מפלט, שכן הפגיעה נמשכת מסביב לשעון גם כשהקורבן כבר בביתו (היימן, אולניק-שמש ועדן, 2014).</w:t>
      </w:r>
    </w:p>
    <w:p>
      <w:pPr>
        <w:bidi/>
        <w:spacing w:line="360" w:lineRule="auto" w:after="200" w:before="0"/>
        <w:jc w:val="both"/>
      </w:pPr>
      <w:r>
        <w:rPr>
          <w:rFonts w:ascii="David" w:hAnsi="David" w:cs="David"/>
          <w:b w:val="0"/>
          <w:sz w:val="24"/>
          <w:szCs w:val="24"/>
          <w:rtl w:val="1"/>
        </w:rPr>
        <w:t>התופעה שכיחה הרבה יותר משנדמה. אצל ילדים ובני נוער בישראל הזירה המרכזית לה היא קבוצת הווטסאפ הכיתתית. מחקר חלוץ שהשתתפו בו 1,111 תלמידים מכיתות ד' עד י"ב מצא שלרוב המכריע יש קבוצת ווטסאפ כיתתית אחת או יותר, ושחשוב להם מאוד להשתייך אליה. ובה בעת, רובם חווים בה שיימינג, בין כקרבנות ובין כעדים. הביטוי הנפוץ ביותר היה עלבונות, ואחריו קללות, הוצאה כפויה מהקבוצה והעלאת תמונות מביכות. דווקא העדוּת לשיימינג נמצאה שכיחה יותר מהיפגעות ישירה, ונמצאו הבדלים בביטויי השיימינג לפי גיל המסגרת החינוכית. הפגיעה אינה נחלת מעטים, אלא חוויה שחלק גדול מהכיתה נחשף אליה בדרך זו או אחרת (איזנקוט, 2017).</w:t>
      </w:r>
    </w:p>
    <w:p>
      <w:pPr>
        <w:bidi/>
        <w:spacing w:line="360" w:lineRule="auto" w:after="200" w:before="0"/>
        <w:jc w:val="both"/>
      </w:pPr>
      <w:r>
        <w:rPr>
          <w:rFonts w:ascii="David" w:hAnsi="David" w:cs="David"/>
          <w:b w:val="0"/>
          <w:sz w:val="24"/>
          <w:szCs w:val="24"/>
          <w:rtl w:val="1"/>
        </w:rPr>
        <w:t>אלא שהפגיעה אינה מתחלקת שווה בשווה. מבחינה תיאורטית נהוג לבחון את התופעה מתוך גישה חברתית-אקולוגית, הרואה את התנהגות המתבגר כתוצר של יחסי הגומלין בינו לבין סביבותיו, ומכאן עולה השאלה מי נפגע יותר. מחקר שהשתתפו בו 482 מתבגרים, מהם 140 עם הפרעת קשב והיפראקטיביות ו-342 ללא לקות, מצא שתלמידים עם הפרעת קשב מעורבים יותר בבריונות ברשת, כקרבנות, כפוגעים וכעדים כאחד. יתרה מזאת, אלה מהם שנחשפו כעדים לבריונות דיווחו על תחושות בדידות חברתית ורגשית גבוהות יותר ועל מסוגלות עצמית חברתית נמוכה יותר מתלמידים ללא לקות. הממצא הזה חשוב, משום שהוא מלמד שהפגיעה שזורה במארג החברתי-רגשי של המתבגר ומחריפה אצל מי שכבר מתקשה חברתית (היימן, אולניק-שמש ועדן, 2014).</w:t>
      </w:r>
    </w:p>
    <w:p>
      <w:pPr>
        <w:bidi/>
        <w:spacing w:line="360" w:lineRule="auto" w:after="200" w:before="0"/>
        <w:jc w:val="both"/>
      </w:pPr>
      <w:r>
        <w:rPr>
          <w:rFonts w:ascii="David" w:hAnsi="David" w:cs="David"/>
          <w:b w:val="0"/>
          <w:sz w:val="24"/>
          <w:szCs w:val="24"/>
          <w:rtl w:val="1"/>
        </w:rPr>
        <w:t>התמונה מתרחבת עוד כשמביאים בחשבון את עוצמת השימוש עצמו, לא רק את הפגיעה. מחקר שנערך בקרב סטודנטים, על רקע ההשלכות של תקופת הקורונה, מצא שבילוי של יותר משלוש שעות ביום ברשתות עלול להוביל להתמכרות, הקשורה בעלייה בבדידות ובדיכאון ובירידה במסוגלות הלימודית ובהישגים. מנגד, כישורי פתרון בעיות ושביעות רצון מהחיים נמצאו קשורים בהישגים גבוהים יותר ותפקדו כגורמים מגנים. עם זאת התמונה אינה חד-משמעית, שכן במקרים מסוימים השימוש ברשתות דווקא הפחית תחושות בדידות ודיכאון (Aslan &amp; Polat, 2024).</w:t>
      </w:r>
    </w:p>
    <w:p>
      <w:pPr>
        <w:bidi/>
        <w:spacing w:line="360" w:lineRule="auto" w:after="200" w:before="0"/>
        <w:jc w:val="both"/>
      </w:pPr>
      <w:r>
        <w:rPr>
          <w:rFonts w:ascii="David" w:hAnsi="David" w:cs="David"/>
          <w:b w:val="0"/>
          <w:sz w:val="24"/>
          <w:szCs w:val="24"/>
          <w:rtl w:val="1"/>
        </w:rPr>
        <w:t>מכל אלה עולה חוט מקשר אחד: הבדידות. היא מופיעה בכל שלוש הזוויות, כמאפיין של הקרבן לשיימינג, כמלווה של מעורבות בבריונות אצל תלמידים עם הפרעת קשב, וכתוצאה אפשרית של שימוש מופרז ברשתות. נראה שהבדידות היא גם גורם סיכון שמגביר את הפגיעוּת וגם מחיר שהפגיעה גובה, וקשה להתיר את הקשר הזה בלי מחקר שעוקב אחר התלמידים לאורך זמן (איזנקוט, 2017; Aslan &amp; Polat, 2024).</w:t>
      </w:r>
    </w:p>
    <w:p>
      <w:pPr>
        <w:bidi/>
        <w:spacing w:line="360" w:lineRule="auto" w:after="120" w:before="160"/>
        <w:jc w:val="right"/>
      </w:pPr>
      <w:r>
        <w:rPr>
          <w:rFonts w:ascii="David" w:hAnsi="David" w:cs="David"/>
          <w:b/>
          <w:sz w:val="26"/>
          <w:szCs w:val="26"/>
          <w:rtl w:val="1"/>
          <w:bCs/>
        </w:rPr>
        <w:t>דיון, סיכום ומסקנות</w:t>
      </w:r>
    </w:p>
    <w:p>
      <w:pPr>
        <w:bidi/>
        <w:spacing w:line="360" w:lineRule="auto" w:after="200" w:before="0"/>
        <w:jc w:val="both"/>
      </w:pPr>
      <w:r>
        <w:rPr>
          <w:rFonts w:ascii="David" w:hAnsi="David" w:cs="David"/>
          <w:b w:val="0"/>
          <w:sz w:val="24"/>
          <w:szCs w:val="24"/>
          <w:rtl w:val="1"/>
        </w:rPr>
        <w:t>שלושת המחקרים מציירים יחד תמונה שבה הרשתות החברתיות אינן גורם ניטרלי. הן זירה שבה ילדים ומתבגרים חווים שיימינג והטרדה בהיקף רחב, כבר מגיל צעיר ובתוך הקבוצה הכיתתית עצמה (איזנקוט, 2017). ההיפגעות אינה מסתכמת ברגע הפגיעה, אלא קשורה בבדידות ובמסוגלות חברתית נמוכה, ואוכלוסיות מסוימות כמו תלמידים עם הפרעת קשב חשופות לה יותר וגם משלמות עליה מחיר רגשי כבד יותר (היימן, אולניק-שמש ועדן, 2014). כשמוסיפים לכך את ההשלכות של שימוש מופרז על הרווחה הנפשית ועל התפקוד הלימודי, מתחדדת המסקנה החינוכית. המענה אינו יכול להסתפק בחסימה טכנית או באיסור, שכן הפגיעה קורית במרחב שהמבוגרים אינם רואים. עדיף להשקיע בחיזוק המשאבים החברתיים-רגשיים של הלומד, בפיתוח מיומנויות התמודדות ואמפתיה, בזיהוי מוקדם של אוכלוסיות פגיעות, ובבניית אקלים כיתתי בטוח שבו התלמידים עצמם אינם אדישים לעדוּת לפגיעה. תפקיד מרכזי כאן שמור להורים ולצוות החינוכי, הנדרשים לשיתוף פעולה דווקא משום שהזירה הווירטואלית חומקת מעיניהם. לצד זאת ראוי לזכור את מגבלות המחקרים שנסקרו: רובם נשענים על דיווח עצמי, חלקם עוסקים באוכלוסיות ספציפיות, והם אינם עוקבים אחר התלמידים לאורך זמן. מחקרים עתידיים ראוי שיבחנו את הקשרים האלה לאורך זמן ובקרב אוכלוסיות מגוונות, כדי לבסס המלצות מעשיות למורים ולהורים (Aslan &amp; Polat, 2024).</w:t>
      </w:r>
    </w:p>
    <w:p>
      <w:r>
        <w:br w:type="page"/>
      </w:r>
    </w:p>
    <w:p>
      <w:pPr>
        <w:bidi/>
        <w:spacing w:line="360" w:lineRule="auto" w:after="200" w:before="160"/>
        <w:jc w:val="right"/>
      </w:pPr>
      <w:r>
        <w:rPr>
          <w:rFonts w:ascii="David" w:hAnsi="David" w:cs="David"/>
          <w:b/>
          <w:sz w:val="26"/>
          <w:szCs w:val="26"/>
          <w:rtl w:val="1"/>
          <w:bCs/>
        </w:rPr>
        <w:t>רשימת מקורות</w:t>
      </w:r>
    </w:p>
    <w:p>
      <w:pPr>
        <w:bidi/>
        <w:spacing w:line="360" w:lineRule="auto" w:after="160"/>
        <w:ind w:right="560" w:hanging="560"/>
        <w:jc w:val="both"/>
      </w:pPr>
      <w:r>
        <w:rPr>
          <w:rFonts w:ascii="David" w:hAnsi="David" w:cs="David"/>
          <w:b w:val="0"/>
          <w:sz w:val="24"/>
          <w:szCs w:val="24"/>
          <w:rtl w:val="1"/>
        </w:rPr>
        <w:t>איזנקוט, ד' (2017). שיימינג בווטסאפ בקרב ילדים ובני נוער בישראל: מחקר חלוץ. הייעוץ החינוכי, כ, 357–383.</w:t>
      </w:r>
    </w:p>
    <w:p>
      <w:pPr>
        <w:bidi/>
        <w:spacing w:line="360" w:lineRule="auto" w:after="160"/>
        <w:ind w:right="560" w:hanging="560"/>
        <w:jc w:val="both"/>
      </w:pPr>
      <w:r>
        <w:rPr>
          <w:rFonts w:ascii="David" w:hAnsi="David" w:cs="David"/>
          <w:b w:val="0"/>
          <w:sz w:val="24"/>
          <w:szCs w:val="24"/>
          <w:rtl w:val="1"/>
        </w:rPr>
        <w:t>היימן, ט', אולניק-שמש, ד', ועדן, ס' (2014). מעורבות וקרבנוּת ברשת בקרב תלמידים עם הפרעת קשב והיפראקטיביות וללא הפרעה זו והקשר למסוגלות עצמית חברתית, בדידות ותמיכה חברתית. מפגש לעבודה חינוכית-סוציאלית, 39, 93–112.</w:t>
      </w:r>
    </w:p>
    <w:p>
      <w:pPr>
        <w:bidi/>
        <w:spacing w:line="360" w:lineRule="auto" w:after="160"/>
        <w:ind w:left="560" w:hanging="560"/>
        <w:jc w:val="both"/>
      </w:pPr>
      <w:r>
        <w:rPr>
          <w:rFonts w:ascii="David" w:hAnsi="David" w:cs="David"/>
          <w:b w:val="0"/>
          <w:sz w:val="24"/>
          <w:szCs w:val="24"/>
        </w:rPr>
        <w:t>Aslan, I., &amp; Polat, H. (2024). Investigating social media addiction and impact of social media addiction, loneliness, depression, life satisfaction and problem-solving skills on academic self-efficacy and academic success among university students. Frontiers in Public Health, 12, 1359691. https://doi.org/10.3389/fpubh.2024.1359691</w:t>
      </w:r>
    </w:p>
    <w:p>
      <w:r>
        <w:br w:type="page"/>
      </w:r>
    </w:p>
    <w:p>
      <w:pPr>
        <w:bidi/>
        <w:spacing w:line="360" w:lineRule="auto" w:after="120" w:before="160"/>
        <w:jc w:val="right"/>
      </w:pPr>
      <w:r>
        <w:rPr>
          <w:rFonts w:ascii="David" w:hAnsi="David" w:cs="David"/>
          <w:b/>
          <w:sz w:val="26"/>
          <w:szCs w:val="26"/>
          <w:rtl w:val="1"/>
          <w:bCs/>
        </w:rPr>
        <w:t>נספח: סיכום מאמר</w:t>
      </w:r>
    </w:p>
    <w:p>
      <w:pPr>
        <w:bidi/>
        <w:spacing w:line="360" w:lineRule="auto" w:after="200" w:before="0"/>
        <w:jc w:val="right"/>
      </w:pPr>
      <w:r>
        <w:rPr>
          <w:rFonts w:ascii="David" w:hAnsi="David" w:cs="David"/>
          <w:b w:val="0"/>
          <w:sz w:val="22"/>
          <w:szCs w:val="22"/>
          <w:rtl w:val="1"/>
        </w:rPr>
        <w:t>היימן, ט', אולניק-שמש, ד', ועדן, ס' (2014). מעורבות וקרבנוּת ברשת בקרב תלמידים עם הפרעת קשב והיפראקטיביות וללא הפרעה זו והקשר למסוגלות עצמית חברתית, בדידות ותמיכה חברתית. מפגש לעבודה חינוכית-סוציאלית, 39, 93–112.</w:t>
      </w:r>
    </w:p>
    <w:p>
      <w:pPr>
        <w:bidi/>
        <w:spacing w:line="360" w:lineRule="auto" w:after="80" w:before="80"/>
        <w:jc w:val="right"/>
      </w:pPr>
      <w:r>
        <w:rPr>
          <w:rFonts w:ascii="David" w:hAnsi="David" w:cs="David"/>
          <w:b/>
          <w:sz w:val="24"/>
          <w:szCs w:val="24"/>
          <w:rtl w:val="1"/>
          <w:bCs/>
        </w:rPr>
        <w:t>שאלת המחקר</w:t>
      </w:r>
    </w:p>
    <w:p>
      <w:pPr>
        <w:bidi/>
        <w:spacing w:line="360" w:lineRule="auto" w:after="200" w:before="0"/>
        <w:jc w:val="both"/>
      </w:pPr>
      <w:r>
        <w:rPr>
          <w:rFonts w:ascii="David" w:hAnsi="David" w:cs="David"/>
          <w:b w:val="0"/>
          <w:sz w:val="24"/>
          <w:szCs w:val="24"/>
          <w:rtl w:val="1"/>
        </w:rPr>
        <w:t>האם תלמידים עם הפרעת קשב והיפראקטיביות מעורבים בבריונות ברשת יותר מתלמידים ללא לקות, ומהו הקשר בין מעורבות זו לבין המסוגלות העצמית החברתית, תחושת הבדידות והתמיכה החברתית שלהם?</w:t>
      </w:r>
    </w:p>
    <w:p>
      <w:pPr>
        <w:bidi/>
        <w:spacing w:line="360" w:lineRule="auto" w:after="80" w:before="80"/>
        <w:jc w:val="right"/>
      </w:pPr>
      <w:r>
        <w:rPr>
          <w:rFonts w:ascii="David" w:hAnsi="David" w:cs="David"/>
          <w:b/>
          <w:sz w:val="24"/>
          <w:szCs w:val="24"/>
          <w:rtl w:val="1"/>
          <w:bCs/>
        </w:rPr>
        <w:t>סקירת הספרות</w:t>
      </w:r>
    </w:p>
    <w:p>
      <w:pPr>
        <w:bidi/>
        <w:spacing w:line="360" w:lineRule="auto" w:after="200" w:before="0"/>
        <w:jc w:val="both"/>
      </w:pPr>
      <w:r>
        <w:rPr>
          <w:rFonts w:ascii="David" w:hAnsi="David" w:cs="David"/>
          <w:b w:val="0"/>
          <w:sz w:val="24"/>
          <w:szCs w:val="24"/>
          <w:rtl w:val="1"/>
        </w:rPr>
        <w:t>סקירת הספרות במאמר פותחת בהגדרת בריונות ברשת כהתנהגות תוקפנית ומכוונת, חוזרת ולאורך זמן, ומתארת את מאפייניה הייחודיים: אנונימיות הפוגע, מהירות ההפצה וקהל צופים רחב. מוצגים נתוני שכיחות ממחקרים בארץ ובעולם, ובהם ממצא שלפיו כ-16.5% מהתלמידים בחטיבות ביניים במרכז הארץ היו קרבנות לבריונות ברשת, לצד שיעורים דומים במחקרים מבלגיה ומארצות הברית. בהמשך נדונים שלושה משתנים חברתיים-רגשיים הקשורים לתופעה: מסוגלות עצמית חברתית, תחושת בדידות ותמיכה חברתית, וכן הפגיעוּת המוגברת של תלמידים עם הפרעת קשב והיפראקטיביות, המתקשים לעיתים בקריאת רמזים חברתיים ובוויסות התנהגותם.</w:t>
      </w:r>
    </w:p>
    <w:p>
      <w:pPr>
        <w:bidi/>
        <w:spacing w:line="360" w:lineRule="auto" w:after="80" w:before="80"/>
        <w:jc w:val="right"/>
      </w:pPr>
      <w:r>
        <w:rPr>
          <w:rFonts w:ascii="David" w:hAnsi="David" w:cs="David"/>
          <w:b/>
          <w:sz w:val="24"/>
          <w:szCs w:val="24"/>
          <w:rtl w:val="1"/>
          <w:bCs/>
        </w:rPr>
        <w:t>השערות המחקר</w:t>
      </w:r>
    </w:p>
    <w:p>
      <w:pPr>
        <w:bidi/>
        <w:spacing w:line="360" w:lineRule="auto" w:after="200" w:before="0"/>
        <w:jc w:val="both"/>
      </w:pPr>
      <w:r>
        <w:rPr>
          <w:rFonts w:ascii="David" w:hAnsi="David" w:cs="David"/>
          <w:b w:val="0"/>
          <w:sz w:val="24"/>
          <w:szCs w:val="24"/>
          <w:rtl w:val="1"/>
        </w:rPr>
        <w:t>(1) תלמידים עם הפרעת קשב יהיו מעורבים יותר בהתנסויות ברשת, כקרבנות וכפוגעים, מתלמידים ללא לקות. (2) יימצא קשר בין מעורבות בבריונות ברשת לבין מסוגלות עצמית חברתית נמוכה, בדידות רבה ותמיכה חברתית מועטה. (3) תלמידים עם הפרעת קשב ידווחו על מסוגלות עצמית חברתית נמוכה יותר, בדידות גבוהה יותר ותמיכה חברתית מועטה יותר מתלמידים ללא לקות.</w:t>
      </w:r>
    </w:p>
    <w:p>
      <w:pPr>
        <w:bidi/>
        <w:spacing w:line="360" w:lineRule="auto" w:after="80" w:before="80"/>
        <w:jc w:val="right"/>
      </w:pPr>
      <w:r>
        <w:rPr>
          <w:rFonts w:ascii="David" w:hAnsi="David" w:cs="David"/>
          <w:b/>
          <w:sz w:val="24"/>
          <w:szCs w:val="24"/>
          <w:rtl w:val="1"/>
          <w:bCs/>
        </w:rPr>
        <w:t>שיטת המחקר</w:t>
      </w:r>
    </w:p>
    <w:p>
      <w:pPr>
        <w:bidi/>
        <w:spacing w:line="360" w:lineRule="auto" w:after="120"/>
        <w:ind w:right="360"/>
        <w:jc w:val="both"/>
      </w:pPr>
      <w:r>
        <w:rPr>
          <w:rFonts w:ascii="David" w:hAnsi="David" w:cs="David"/>
          <w:b/>
          <w:sz w:val="24"/>
          <w:szCs w:val="24"/>
          <w:rtl w:val="1"/>
          <w:bCs/>
        </w:rPr>
        <w:t xml:space="preserve">הנבדקים: </w:t>
      </w:r>
      <w:r>
        <w:rPr>
          <w:rFonts w:ascii="David" w:hAnsi="David" w:cs="David"/>
          <w:b w:val="0"/>
          <w:sz w:val="24"/>
          <w:szCs w:val="24"/>
          <w:rtl w:val="1"/>
        </w:rPr>
        <w:t>482 תלמידים משלוש חטיבות ביניים ושני בתי ספר תיכוניים, שנבחרו באופן אקראי: 140 תלמידים עם הפרעת קשב והיפראקטיביות ו-342 תלמידים ללא לקות, בכיתות ז' עד י' (גיל ממוצע 14.38).</w:t>
      </w:r>
    </w:p>
    <w:p>
      <w:pPr>
        <w:bidi/>
        <w:spacing w:line="360" w:lineRule="auto" w:after="120"/>
        <w:ind w:right="360"/>
        <w:jc w:val="both"/>
      </w:pPr>
      <w:r>
        <w:rPr>
          <w:rFonts w:ascii="David" w:hAnsi="David" w:cs="David"/>
          <w:b/>
          <w:sz w:val="24"/>
          <w:szCs w:val="24"/>
          <w:rtl w:val="1"/>
          <w:bCs/>
        </w:rPr>
        <w:t xml:space="preserve">כלי המחקר: </w:t>
      </w:r>
      <w:r>
        <w:rPr>
          <w:rFonts w:ascii="David" w:hAnsi="David" w:cs="David"/>
          <w:b w:val="0"/>
          <w:sz w:val="24"/>
          <w:szCs w:val="24"/>
          <w:rtl w:val="1"/>
        </w:rPr>
        <w:t>ארבעה שאלוני דיווח עצמי: שאלון מעורבות בבריונות ברשת (Smith ועמיתיו, 2008), שתורגם ועובד לעברית בידי אולניק-שמש והיימן, ומתוכו נעשה שימוש בעשרה פריטים הממוקדים בפגיעה ברשת (מהימנות פנימית α=.83); שאלון מסוגלות עצמית לילדים (Muris, 2001) הכולל תת-סולם מסוגלות עצמית חברתית בן חמישה פריטים בסולם של חמש דרגות; שאלון תחושת בדידות המבחין בין בדידות חברתית לבדידות רגשית; ושאלון תמיכה חברתית נתפסת (Zimet ועמיתיו, 1988).</w:t>
      </w:r>
    </w:p>
    <w:p>
      <w:pPr>
        <w:bidi/>
        <w:spacing w:line="360" w:lineRule="auto" w:after="120"/>
        <w:ind w:right="360"/>
        <w:jc w:val="both"/>
      </w:pPr>
      <w:r>
        <w:rPr>
          <w:rFonts w:ascii="David" w:hAnsi="David" w:cs="David"/>
          <w:b/>
          <w:sz w:val="24"/>
          <w:szCs w:val="24"/>
          <w:rtl w:val="1"/>
          <w:bCs/>
        </w:rPr>
        <w:t xml:space="preserve">הליך המחקר: </w:t>
      </w:r>
      <w:r>
        <w:rPr>
          <w:rFonts w:ascii="David" w:hAnsi="David" w:cs="David"/>
          <w:b w:val="0"/>
          <w:sz w:val="24"/>
          <w:szCs w:val="24"/>
          <w:rtl w:val="1"/>
        </w:rPr>
        <w:t>כל משתתף מילא את ארבעת השאלונים במהלך שיעור בכיתה. ההשתתפות הייתה אנונימית, ומידע על אבחון הפרעת הקשב נמסר בדיווח עצמי של התלמידים.</w:t>
      </w:r>
    </w:p>
    <w:p>
      <w:pPr>
        <w:bidi/>
        <w:spacing w:line="360" w:lineRule="auto" w:after="80" w:before="80"/>
        <w:jc w:val="right"/>
      </w:pPr>
      <w:r>
        <w:rPr>
          <w:rFonts w:ascii="David" w:hAnsi="David" w:cs="David"/>
          <w:b/>
          <w:sz w:val="24"/>
          <w:szCs w:val="24"/>
          <w:rtl w:val="1"/>
          <w:bCs/>
        </w:rPr>
        <w:t>ממצאים</w:t>
      </w:r>
    </w:p>
    <w:p>
      <w:pPr>
        <w:bidi/>
        <w:spacing w:line="360" w:lineRule="auto" w:after="200" w:before="0"/>
        <w:jc w:val="both"/>
      </w:pPr>
      <w:r>
        <w:rPr>
          <w:rFonts w:ascii="David" w:hAnsi="David" w:cs="David"/>
          <w:b w:val="0"/>
          <w:sz w:val="24"/>
          <w:szCs w:val="24"/>
          <w:rtl w:val="1"/>
        </w:rPr>
        <w:t>תלמידים עם הפרעת קשב דיווחו על מעורבות גבוהה יותר בבריונות ברשת, הן כקרבנות, הן כפוגעים והן כעדים, בהשוואה לתלמידים ללא לקות. ניתוחי שונות רב-משתנית דו-כיווניים העלו שתלמידים עם הפרעת קשב שהיו עדים לבריונות ברשת דיווחו על תחושות בדידות חברתית ורגשית גבוהות יותר ועל מסוגלות עצמית חברתית נמוכה יותר מתלמידים ללא לקות. כלומר, אין די בעצם החשיפה לבריונות כדי להסביר את המצוקה: השילוב בין החשיפה לבין הפגיעוּת הנלווית להפרעת הקשב הוא שמעצים אותה.</w:t>
      </w:r>
    </w:p>
    <w:p>
      <w:pPr>
        <w:bidi/>
        <w:spacing w:line="360" w:lineRule="auto" w:after="80" w:before="80"/>
        <w:jc w:val="right"/>
      </w:pPr>
      <w:r>
        <w:rPr>
          <w:rFonts w:ascii="David" w:hAnsi="David" w:cs="David"/>
          <w:b/>
          <w:sz w:val="24"/>
          <w:szCs w:val="24"/>
          <w:rtl w:val="1"/>
          <w:bCs/>
        </w:rPr>
        <w:t>דיון, מסקנות והמלצות</w:t>
      </w:r>
    </w:p>
    <w:p>
      <w:pPr>
        <w:bidi/>
        <w:spacing w:line="360" w:lineRule="auto" w:after="200" w:before="0"/>
        <w:jc w:val="both"/>
      </w:pPr>
      <w:r>
        <w:rPr>
          <w:rFonts w:ascii="David" w:hAnsi="David" w:cs="David"/>
          <w:b w:val="0"/>
          <w:sz w:val="24"/>
          <w:szCs w:val="24"/>
          <w:rtl w:val="1"/>
        </w:rPr>
        <w:t>מתבגרים עם הפרעת קשב נמצאים בסיכון מוגבר למעורבות בבריונות ברשת ולהשלכותיה החברתיות-רגשיות. החוקרים ממליצים על מחקרי המשך שיבחנו את תרומתם של מאפיינים אישיים וסביבתיים להתמודדות יעילה, ועל פיתוח תוכניות מניעה והתערבות בבתי הספר. בדגש מיוחד הם מציבים את הצורך בזיהוי מוקדם של אוכלוסיות בסיכון ובשיתוף ההורים והצוות החינוכי, כדי לצמצם את הפגיעה ואת השלכותיה הרגשיות.</w:t>
      </w:r>
    </w:p>
    <w:p>
      <w:pPr>
        <w:bidi/>
        <w:spacing w:line="360" w:lineRule="auto" w:after="80" w:before="80"/>
        <w:jc w:val="right"/>
      </w:pPr>
      <w:r>
        <w:rPr>
          <w:rFonts w:ascii="David" w:hAnsi="David" w:cs="David"/>
          <w:b/>
          <w:sz w:val="24"/>
          <w:szCs w:val="24"/>
          <w:rtl w:val="1"/>
          <w:bCs/>
        </w:rPr>
        <w:t>מגבלות המחקר ותרומתו</w:t>
      </w:r>
    </w:p>
    <w:p>
      <w:pPr>
        <w:bidi/>
        <w:spacing w:line="360" w:lineRule="auto" w:after="200" w:before="0"/>
        <w:jc w:val="both"/>
      </w:pPr>
      <w:r>
        <w:rPr>
          <w:rFonts w:ascii="David" w:hAnsi="David" w:cs="David"/>
          <w:b w:val="0"/>
          <w:sz w:val="24"/>
          <w:szCs w:val="24"/>
          <w:rtl w:val="1"/>
        </w:rPr>
        <w:t>ההסתמכות על שאלוני דיווח עצמי עלולה להטות את הממצאים, המידע על אבחון הפרעת הקשב התבסס על דיווח התלמידים עצמם, והפער המספרי בין הקבוצות והיעדר דגימה מבוקרת של קבוצת ההשוואה מגבילים את יכולת ההכללה. עם זאת, המחקר תורם בכך שהוא מפנה זרקור לאוכלוסייה בסיכון שלרוב אינה זוכה לתשומת לב נפרדת בהקשר של בריונות ברשת, ומצביע על הקשר בין הפגיעה למשאבים החברתיים-רגשיים של התלמיד.</w:t>
      </w:r>
    </w:p>
    <w:sectPr w:rsidR="00FC693F" w:rsidRPr="0006063C" w:rsidSect="00034616">
      <w:footerReference w:type="default" r:id="rId9"/>
      <w:pgSz w:w="12240" w:h="15840"/>
      <w:pgMar w:top="1440" w:right="1440" w:bottom="1440" w:left="144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avid" w:hAnsi="David"/>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