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0" w:line="360" w:lineRule="auto"/>
        <w:jc w:val="center"/>
      </w:pPr>
      <w:r>
        <w:rPr>
          <w:rFonts w:ascii="Times New Roman" w:cs="David" w:hAnsi="Times New Roman"/>
          <w:b/>
          <w:bCs/>
          <w:i w:val="false"/>
          <w:noProof/>
          <w:sz w:val="28"/>
          <w:szCs w:val="28"/>
          <w:rtl/>
          <w:lang w:val="en-US" w:bidi="he-IL"/>
        </w:rPr>
        <w:t xml:space="preserve">גורדון - המכללה האקדמית לחינוך, חיפה</w:t>
      </w:r>
    </w:p>
    <w:p>
      <w:pPr>
        <w:bidi/>
        <w:spacing w:after="0" w:before="0" w:line="360" w:lineRule="auto"/>
        <w:jc w:val="center"/>
      </w:pPr>
      <w:r>
        <w:rPr>
          <w:rFonts w:ascii="Times New Roman" w:cs="David" w:hAnsi="Times New Roman"/>
          <w:b w:val="false"/>
          <w:i w:val="false"/>
          <w:noProof/>
          <w:sz w:val="26"/>
          <w:szCs w:val="26"/>
          <w:rtl/>
          <w:lang w:val="en-US" w:bidi="he-IL"/>
        </w:rPr>
        <w:t xml:space="preserve">לימודי מוסמך בחינוך (M.Ed.)</w:t>
      </w:r>
    </w:p>
    <w:p>
      <w:pPr>
        <w:bidi/>
        <w:spacing w:after="0" w:before="0" w:line="360" w:lineRule="auto"/>
        <w:jc w:val="center"/>
      </w:pPr>
      <w:r>
        <w:rPr>
          <w:rFonts w:ascii="Times New Roman" w:cs="David" w:hAnsi="Times New Roman"/>
          <w:b w:val="false"/>
          <w:i w:val="false"/>
          <w:noProof/>
          <w:sz w:val="26"/>
          <w:szCs w:val="26"/>
          <w:rtl/>
          <w:lang w:val="en-US" w:bidi="he-IL"/>
        </w:rPr>
        <w:t xml:space="preserve">היחידה לעבודות גמר</w:t>
      </w:r>
    </w:p>
    <w:p>
      <w:pPr>
        <w:bidi/>
        <w:spacing w:line="360" w:lineRule="auto"/>
      </w:pPr>
    </w:p>
    <w:p>
      <w:pPr>
        <w:bidi/>
        <w:spacing w:line="360" w:lineRule="auto"/>
      </w:pPr>
    </w:p>
    <w:p>
      <w:pPr>
        <w:bidi/>
        <w:spacing w:line="360" w:lineRule="auto"/>
      </w:pPr>
    </w:p>
    <w:p>
      <w:pPr>
        <w:bidi/>
        <w:spacing w:after="0" w:before="0" w:line="360" w:lineRule="auto"/>
        <w:jc w:val="center"/>
      </w:pPr>
      <w:r>
        <w:rPr>
          <w:rFonts w:ascii="Times New Roman" w:cs="David" w:hAnsi="Times New Roman"/>
          <w:b w:val="false"/>
          <w:i w:val="false"/>
          <w:noProof/>
          <w:sz w:val="26"/>
          <w:szCs w:val="26"/>
          <w:rtl/>
          <w:lang w:val="en-US" w:bidi="he-IL"/>
        </w:rPr>
        <w:t xml:space="preserve">סמינריון מתפתח - הדרכה</w:t>
      </w:r>
    </w:p>
    <w:p>
      <w:pPr>
        <w:bidi/>
        <w:spacing w:line="360" w:lineRule="auto"/>
      </w:pPr>
    </w:p>
    <w:p>
      <w:pPr>
        <w:bidi/>
        <w:spacing w:line="360" w:lineRule="auto"/>
      </w:pPr>
    </w:p>
    <w:p>
      <w:pPr>
        <w:bidi/>
        <w:spacing w:line="360" w:lineRule="auto"/>
      </w:pPr>
    </w:p>
    <w:p>
      <w:pPr>
        <w:bidi/>
        <w:spacing w:after="0" w:before="0" w:line="360" w:lineRule="auto"/>
        <w:jc w:val="center"/>
      </w:pPr>
      <w:r>
        <w:rPr>
          <w:rFonts w:ascii="Times New Roman" w:cs="David" w:hAnsi="Times New Roman"/>
          <w:b/>
          <w:bCs/>
          <w:i w:val="false"/>
          <w:noProof/>
          <w:sz w:val="32"/>
          <w:szCs w:val="32"/>
          <w:rtl/>
          <w:lang w:val="en-US" w:bidi="he-IL"/>
        </w:rPr>
        <w:t xml:space="preserve">הערכת תוכנית הלמידה החברתית-רגשית "מעגלים" לפיתוח מיומנויות חברתיות-רגשיות של תלמידים על הרצף האוטיסטי בכיתת תקשורת</w:t>
      </w:r>
    </w:p>
    <w:p>
      <w:pPr>
        <w:bidi/>
        <w:spacing w:line="360" w:lineRule="auto"/>
      </w:pPr>
    </w:p>
    <w:p>
      <w:pPr>
        <w:bidi/>
        <w:spacing w:after="0" w:before="0" w:line="360" w:lineRule="auto"/>
        <w:jc w:val="center"/>
      </w:pPr>
      <w:r>
        <w:rPr>
          <w:rFonts w:ascii="Times New Roman" w:cs="David" w:hAnsi="Times New Roman"/>
          <w:b/>
          <w:bCs/>
          <w:i w:val="false"/>
          <w:noProof/>
          <w:sz w:val="28"/>
          <w:szCs w:val="28"/>
          <w:rtl/>
          <w:lang w:val="en-US" w:bidi="he-IL"/>
        </w:rPr>
        <w:t xml:space="preserve">עבודת גמר: סקירת ספרות</w:t>
      </w:r>
    </w:p>
    <w:p>
      <w:pPr>
        <w:bidi/>
        <w:spacing w:line="360" w:lineRule="auto"/>
      </w:pPr>
    </w:p>
    <w:p>
      <w:pPr>
        <w:bidi/>
        <w:spacing w:line="360" w:lineRule="auto"/>
      </w:pPr>
    </w:p>
    <w:p>
      <w:pPr>
        <w:bidi/>
        <w:spacing w:line="360" w:lineRule="auto"/>
      </w:pPr>
    </w:p>
    <w:p>
      <w:pPr>
        <w:bidi/>
        <w:spacing w:line="360" w:lineRule="auto"/>
      </w:pPr>
    </w:p>
    <w:p>
      <w:pPr>
        <w:bidi/>
        <w:spacing w:after="0" w:before="0" w:line="360" w:lineRule="auto"/>
        <w:jc w:val="center"/>
      </w:pPr>
      <w:r>
        <w:rPr>
          <w:rFonts w:ascii="Times New Roman" w:cs="David" w:hAnsi="Times New Roman"/>
          <w:b w:val="false"/>
          <w:i w:val="false"/>
          <w:noProof/>
          <w:sz w:val="26"/>
          <w:szCs w:val="26"/>
          <w:rtl/>
          <w:lang w:val="en-US" w:bidi="he-IL"/>
        </w:rPr>
        <w:t xml:space="preserve">מגיש: משה חן, ת"ז 209020932</w:t>
      </w:r>
    </w:p>
    <w:p>
      <w:pPr>
        <w:bidi/>
        <w:spacing w:after="0" w:before="0" w:line="360" w:lineRule="auto"/>
        <w:jc w:val="center"/>
      </w:pPr>
      <w:r>
        <w:rPr>
          <w:rFonts w:ascii="Times New Roman" w:cs="David" w:hAnsi="Times New Roman"/>
          <w:b w:val="false"/>
          <w:i w:val="false"/>
          <w:noProof/>
          <w:sz w:val="26"/>
          <w:szCs w:val="26"/>
          <w:rtl/>
          <w:lang w:val="en-US" w:bidi="he-IL"/>
        </w:rPr>
        <w:t xml:space="preserve">מנחה: ________________</w:t>
      </w:r>
    </w:p>
    <w:p>
      <w:pPr>
        <w:bidi/>
        <w:spacing w:line="360" w:lineRule="auto"/>
      </w:pPr>
    </w:p>
    <w:p>
      <w:pPr>
        <w:bidi/>
        <w:spacing w:line="360" w:lineRule="auto"/>
      </w:pPr>
    </w:p>
    <w:p>
      <w:pPr>
        <w:bidi/>
        <w:spacing w:line="360" w:lineRule="auto"/>
      </w:pPr>
    </w:p>
    <w:p>
      <w:pPr>
        <w:bidi/>
        <w:spacing w:after="0" w:before="0" w:line="360" w:lineRule="auto"/>
        <w:jc w:val="center"/>
      </w:pPr>
      <w:r>
        <w:rPr>
          <w:rFonts w:ascii="Times New Roman" w:cs="David" w:hAnsi="Times New Roman"/>
          <w:b w:val="false"/>
          <w:i w:val="false"/>
          <w:noProof/>
          <w:sz w:val="26"/>
          <w:szCs w:val="26"/>
          <w:rtl/>
          <w:lang w:val="en-US" w:bidi="he-IL"/>
        </w:rPr>
        <w:t xml:space="preserve">אלול תשפ"ו, אוגוסט 2026</w:t>
      </w:r>
    </w:p>
    <w:p>
      <w:r>
        <w:rPr>
          <w:noProof/>
          <w:lang w:val="en-US" w:bidi="he-IL"/>
        </w:rPr>
        <w:br w:type="page"/>
      </w:r>
    </w:p>
    <w:p>
      <w:pPr>
        <w:bidi/>
        <w:spacing w:after="240" w:before="0" w:line="360" w:lineRule="auto"/>
        <w:jc w:val="center"/>
      </w:pPr>
      <w:r>
        <w:rPr>
          <w:rFonts w:ascii="Times New Roman" w:cs="David" w:hAnsi="Times New Roman"/>
          <w:b/>
          <w:bCs/>
          <w:i w:val="false"/>
          <w:noProof/>
          <w:sz w:val="32"/>
          <w:szCs w:val="32"/>
          <w:rtl/>
          <w:lang w:val="en-US" w:bidi="he-IL"/>
        </w:rPr>
        <w:t xml:space="preserve">סקירת ספרות</w:t>
      </w:r>
    </w:p>
    <w:p>
      <w:pPr>
        <w:bidi/>
        <w:spacing w:after="120" w:before="240" w:line="360" w:lineRule="auto"/>
        <w:jc w:val="right"/>
      </w:pPr>
      <w:r>
        <w:rPr>
          <w:rFonts w:ascii="Times New Roman" w:cs="David" w:hAnsi="Times New Roman"/>
          <w:b/>
          <w:bCs/>
          <w:i w:val="false"/>
          <w:noProof/>
          <w:sz w:val="28"/>
          <w:szCs w:val="28"/>
          <w:rtl/>
          <w:lang w:val="en-US" w:bidi="he-IL"/>
        </w:rPr>
        <w:t xml:space="preserve">1. משילוב להכלה: תלמידים עם צרכים ייחודיים בחינוך הרגיל</w:t>
      </w:r>
    </w:p>
    <w:p>
      <w:pPr>
        <w:bidi/>
        <w:spacing w:after="0" w:line="360" w:lineRule="auto"/>
        <w:jc w:val="both"/>
      </w:pPr>
      <w:r>
        <w:rPr>
          <w:rFonts w:ascii="Times New Roman" w:cs="David" w:hAnsi="Times New Roman"/>
          <w:b w:val="false"/>
          <w:i w:val="false"/>
          <w:noProof/>
          <w:sz w:val="24"/>
          <w:szCs w:val="24"/>
          <w:rtl/>
          <w:lang w:val="en-US" w:bidi="he-IL"/>
        </w:rPr>
        <w:t xml:space="preserve">מערכת החינוך המיוחד עברה בעשורים האחרונים דרך ארוכה, ממדיניות של הפרדה והשמה במסגרות נבדלות אל עבר שילובם והכלתם של תלמידים עם צרכים ייחודיים בחינוך הרגיל. את התשתית החוקית הניח חוק חינוך מיוחד, התשמ"ח-1988, שעודכן מאז באופן המשקף את השינוי התפיסתי שחל בתחום (הוצלר, 2019). מדובר בסוגיה הנוגעת לציבור רחב: על פי נתוני הסקר החברתי של הלשכה המרכזית לסטטיסטיקה חיים בישראל כמיליון וחצי אנשים עם מוגבלות, שהם 17% מכלל האוכלוסייה, והם עובדים פחות, משכילים פחות ובודדים יותר מאנשים ללא מוגבלות, עובדה הפוגעת באיכות חייהם (הוצלר, 2019).</w:t>
      </w:r>
    </w:p>
    <w:p>
      <w:pPr>
        <w:bidi/>
        <w:spacing w:after="0" w:line="360" w:lineRule="auto"/>
        <w:jc w:val="both"/>
      </w:pPr>
      <w:r>
        <w:rPr>
          <w:rFonts w:ascii="Times New Roman" w:cs="David" w:hAnsi="Times New Roman"/>
          <w:b w:val="false"/>
          <w:i w:val="false"/>
          <w:noProof/>
          <w:sz w:val="24"/>
          <w:szCs w:val="24"/>
          <w:rtl/>
          <w:lang w:val="en-US" w:bidi="he-IL"/>
        </w:rPr>
        <w:t xml:space="preserve">ציון דרך מרכזי במדיניות הישראלית היה דוח הוועדה הציבורית לבחינת מערכת החינוך המיוחד בישראל, המוכר כדוח ועדת דורנר, שפורסם בשנת 2009 בראשות שופטת בית המשפט העליון בדימוס דליה דורנר. הוועדה המליצה להעניק להורים את חופש הבחירה בין מסגרת משלבת למסגרת נבדלת, לקבוע את התקצוב לכל ילד לא רק על פי לקותו אלא גם על פי רמת תפקודו, ולהצמיד את התקציב לילד עצמו כך שילווה אותו במעבר בין מסגרות. הוועדה אף קבעה כי שילובם של תלמידים עם מוגבלות אינו יכול להצליח בלא שהמדינה תעמיד את המשאבים הנדרשים ותאמץ מדיניות ברורה התומכת בשילוב (משרד החינוך, 2009). עקרונות אלה הניחו את התשתית לתיקון החקיקה שבא אחריהם.</w:t>
      </w:r>
    </w:p>
    <w:p>
      <w:pPr>
        <w:bidi/>
        <w:spacing w:after="0" w:line="360" w:lineRule="auto"/>
        <w:jc w:val="both"/>
      </w:pPr>
      <w:r>
        <w:rPr>
          <w:rFonts w:ascii="Times New Roman" w:cs="David" w:hAnsi="Times New Roman"/>
          <w:b w:val="false"/>
          <w:i w:val="false"/>
          <w:noProof/>
          <w:sz w:val="24"/>
          <w:szCs w:val="24"/>
          <w:rtl/>
          <w:lang w:val="en-US" w:bidi="he-IL"/>
        </w:rPr>
        <w:t xml:space="preserve">בשנת 2018 אושר בכנסת תיקון לחוק החינוך המיוחד, ובו הוגדרו מחדש מטרות שירותי החינוך המיוחדים: לקדם ולפתח את הלמידה, הכישורים והיכולות של התלמיד ואת תפקודו הגופני, השכלי, הנפשי, החברתי וההתנהגותי; לעגן את זכותו להשתתפות שוויונית ופעילה בחברה בכל תחומי החיים; ולקדם את שילובם של תלמידים עם צרכים ייחודיים במוסדות חינוך (הוצלר, 2019). ברוח זו, עקרון ההכלה מרחיב את רעיון השילוב צעד נוסף: לא עוד התאמת התלמיד למסגרת קיימת, אלא תכנון הסביבה החינוכית והפעילות מראש באופן המאפשר נגישות והשתתפות של מגוון לומדים, ברוח העיצוב האוניברסלי ללמידה. הוצלר (2019) מדגים כיצד ניתוח מוקדם של המשימה ושל דרכי הפעילות מאפשר למורה לבחור מסגרת ודרכי הוראה שיכילו גם משתתפים עם מוגבלות, במקום לתקן את הפעילות בדיעבד.</w:t>
      </w:r>
    </w:p>
    <w:p>
      <w:pPr>
        <w:bidi/>
        <w:spacing w:after="0" w:line="360" w:lineRule="auto"/>
        <w:jc w:val="both"/>
      </w:pPr>
      <w:r>
        <w:rPr>
          <w:rFonts w:ascii="Times New Roman" w:cs="David" w:hAnsi="Times New Roman"/>
          <w:b w:val="false"/>
          <w:i w:val="false"/>
          <w:noProof/>
          <w:sz w:val="24"/>
          <w:szCs w:val="24"/>
          <w:rtl/>
          <w:lang w:val="en-US" w:bidi="he-IL"/>
        </w:rPr>
        <w:t xml:space="preserve">המעבר להכלה מפגיש את בתי הספר גם עם המחיר של הכלה שאינה מצליחה. התמודדות עם התנהגויות מאתגרות של תלמידים גוזלת שעות למידה רבות, מתישה את הצוות החינוכי ומשפיעה על האקלים ועל האווירה בכיתה ובבית הספר; בה בעת, התלמיד המציג התנהגויות אלה אינו מרגיש מוכל, חווה דחייה ותוקפנות מצד תלמידים ומצד הצוות, וחוויה זו מגבירה את הסיכוי שההתנהגויות יימשכו ואף יחריפו (בינג וחיימי, 2025). נוצר מעגל מזין את עצמו, ושבירתו מחייבת התארגנות מערכתית ולא רק מאמץ של מורה יחיד.</w:t>
      </w:r>
    </w:p>
    <w:p>
      <w:pPr>
        <w:bidi/>
        <w:spacing w:after="0" w:line="360" w:lineRule="auto"/>
        <w:jc w:val="both"/>
      </w:pPr>
      <w:r>
        <w:rPr>
          <w:rFonts w:ascii="Times New Roman" w:cs="David" w:hAnsi="Times New Roman"/>
          <w:b w:val="false"/>
          <w:i w:val="false"/>
          <w:noProof/>
          <w:sz w:val="24"/>
          <w:szCs w:val="24"/>
          <w:rtl/>
          <w:lang w:val="en-US" w:bidi="he-IL"/>
        </w:rPr>
        <w:t xml:space="preserve">התמורות במדיניות השתקפו גם בהתפתחות המושגית והמחקרית של התחום. בעבר, כאשר האחריות לתמיכה בילדים עם צרכים ייחודיים הייתה נתונה בידי מוסדות רפואיים ושיקומיים, התמקדו כלי ההערכה בבחינת מצב פיזי או רגשי, ברוח כלי המדידה של מדעי הבריאות; מאמצע שנות השמונים עלה השימוש בכלים שבחנו משתנים התורמים לבריאות הפרט, ובשנות התשעים, עם התרחבות ההשתלבות במערכת הכללית, פותחו כלים שהתמקדו בהערכת תפקודם של התלמידים ובעמדות הצוות המקצועי כלפי השילוב וההכלה (הס, 2025).</w:t>
      </w:r>
    </w:p>
    <w:p>
      <w:pPr>
        <w:bidi/>
        <w:spacing w:after="0" w:line="360" w:lineRule="auto"/>
        <w:jc w:val="both"/>
      </w:pPr>
      <w:r>
        <w:rPr>
          <w:rFonts w:ascii="Times New Roman" w:cs="David" w:hAnsi="Times New Roman"/>
          <w:b w:val="false"/>
          <w:i w:val="false"/>
          <w:noProof/>
          <w:sz w:val="24"/>
          <w:szCs w:val="24"/>
          <w:rtl/>
          <w:lang w:val="en-US" w:bidi="he-IL"/>
        </w:rPr>
        <w:t xml:space="preserve">העניין המחקרי בעמדות כלפי השילוב נמשך גם כיום, אך מוקדו השתנה. הס (2025) פיתח שאלון עמדות המיועד לבחון כיצד תופסים אנשי הוראה את הפוטנציאל של תלמידים עם צרכים ייחודיים, ובהם תלמידים עם אוטיזם בתפקוד גבוה, לפתח זהות עצמית מפוכחת, תקשורת בינאישית משמעותית וחשיבה אוטונומית. ניתוח-על שנערך על נתוניהם של 261 עובדי הוראה בבתי ספר יסודיים ביסס את מהימנות הכלי ואת תוקפו. המעבר ממדידת עמדות כלפי עצם השילוב אל מדידת עמדות כלפי הפוטנציאל של התלמידים משקף את השינוי התפיסתי שחל בתחום: מהשאלה האם לשלב אל השאלה כיצד לאפשר לכל תלמיד לממש את יכולותיו.</w:t>
      </w:r>
    </w:p>
    <w:p>
      <w:pPr>
        <w:bidi/>
        <w:spacing w:after="0" w:line="360" w:lineRule="auto"/>
        <w:jc w:val="both"/>
      </w:pPr>
      <w:r>
        <w:rPr>
          <w:rFonts w:ascii="Times New Roman" w:cs="David" w:hAnsi="Times New Roman"/>
          <w:b w:val="false"/>
          <w:i w:val="false"/>
          <w:noProof/>
          <w:sz w:val="24"/>
          <w:szCs w:val="24"/>
          <w:rtl/>
          <w:lang w:val="en-US" w:bidi="he-IL"/>
        </w:rPr>
        <w:t xml:space="preserve">תמונה מהשטח עולה ממחקר איכותני עדכני שבחן את עמדותיהם של 15 מורים בדואים ותיקים המלמדים בבתי ספר רגילים שמשולבים בהם תלמידים עם מוגבלות. המורים הדגישו צורך ניכר בפיתוח תוכניות תומכות הוראה, בהגברת שעות הלימוד הפרטניות ובהוראה מותאמת והמחשה מרובה של החומר, וראו באינטראקציה החברתית עם בני הגיל גורם חיוני להתפתחותו של התלמיד המשולב ולהכנתו לחיים בחברה (אבו-גוידר ואחרים, 2025). ממצאים אלה מלמדים שהמורים עצמם מזהים את הפער בין העיקרון המוצהר ובין המשאבים והכלים העומדים לרשותם.</w:t>
      </w:r>
    </w:p>
    <w:p>
      <w:pPr>
        <w:bidi/>
        <w:spacing w:after="0" w:line="360" w:lineRule="auto"/>
        <w:jc w:val="both"/>
      </w:pPr>
      <w:r>
        <w:rPr>
          <w:rFonts w:ascii="Times New Roman" w:cs="David" w:hAnsi="Times New Roman"/>
          <w:b w:val="false"/>
          <w:i w:val="false"/>
          <w:noProof/>
          <w:sz w:val="24"/>
          <w:szCs w:val="24"/>
          <w:rtl/>
          <w:lang w:val="en-US" w:bidi="he-IL"/>
        </w:rPr>
        <w:t xml:space="preserve">המורים שרואיינו הצביעו גם על דרכי פעולה קונקרטיות: חלוקה נכונה של השיעורים, ובעיקר של שיעורי התגבור והשיעורים הפרטניים; הוראה בקצב מותאם והרבה המחשה של החומר הלימודי; ושיתוף ההורים בתהליך הלימודי כתנאי למיצוי התועלת מהשילוב (אבו-גוידר ואחרים, 2025). לתפיסתם, הליכי החברות שהתלמיד עם המוגבלות עובר בכיתה הרגילה מכינים אותו לחיים ולחברה, ובלבד שההוראה מותאמת לכל סיטואציה. דברים אלה מחזקים את התובנה שההכלה נשענת על פרקטיקה יומיומית מדויקת, לא על הצהרות.</w:t>
      </w:r>
    </w:p>
    <w:p>
      <w:pPr>
        <w:bidi/>
        <w:spacing w:after="0" w:line="360" w:lineRule="auto"/>
        <w:jc w:val="both"/>
      </w:pPr>
      <w:r>
        <w:rPr>
          <w:rFonts w:ascii="Times New Roman" w:cs="David" w:hAnsi="Times New Roman"/>
          <w:b w:val="false"/>
          <w:i w:val="false"/>
          <w:noProof/>
          <w:sz w:val="24"/>
          <w:szCs w:val="24"/>
          <w:rtl/>
          <w:lang w:val="en-US" w:bidi="he-IL"/>
        </w:rPr>
        <w:t xml:space="preserve">השילוב בישראל נעשה בפועל באמצעות רצף של אפשרויות השמה, ובהן שילוב פרטני בכיתה רגילה, ליווי של סייעת וכיתה קטנה בתוך בית ספר רגיל, ותלמיד הלומד בכיתת חינוך מיוחד בבית ספר רגיל יכול ללמוד מקצועות שבהם הוא מגלה יכולות נורמטיביות בכיתה הרגילה (וירוב ואחרים, 2018). לשילוב מיוחסות מטרות לשני הצדדים: מצד התלמיד המשולב, מטרה חינוכית-אקדמית, שכן תלמידים בעלי יכולות קוגניטיביות גבוהות יכולים ללמוד את תוכנית הלימודים הרגילה ואף להיבחן בבחינות הבגרות לאחר התאמות, ומטרה חברתית של חשיפה לבני גיל המציגים דגמי התנהגות חברתית נורמטיבית. מצד התלמידים המשלבים, השילוב מפתח רגישות חברתית כלפי השונה ותחושת אחריות כלפיו, מגביר מודעות להבדלים בין בני אדם ומחנך לערכים של כבוד לזולת ועזרה הדדית (וירוב ואחרים, 2018).</w:t>
      </w:r>
    </w:p>
    <w:p>
      <w:pPr>
        <w:bidi/>
        <w:spacing w:after="0" w:line="360" w:lineRule="auto"/>
        <w:jc w:val="both"/>
      </w:pPr>
      <w:r>
        <w:rPr>
          <w:rFonts w:ascii="Times New Roman" w:cs="David" w:hAnsi="Times New Roman"/>
          <w:b w:val="false"/>
          <w:i w:val="false"/>
          <w:noProof/>
          <w:sz w:val="24"/>
          <w:szCs w:val="24"/>
          <w:rtl/>
          <w:lang w:val="en-US" w:bidi="he-IL"/>
        </w:rPr>
        <w:t xml:space="preserve">עם זאת, הספרות מלמדת כי עצם ההשמה בכיתה רגילה אינה מבטיחה שילוב מוצלח. בוגרים אוטיסטים של מערכת החינוך והורים לתלמידים אוטיסטים מדווחים על חוסר ידע והבנה מצד הצוותים ועל הכשרה בלתי מספקת, המקשים על המערכת להתאים את עצמה לתלמידיה (אלון מן וברק, 2025). גם ההשתתפות החברתית אינה מובטחת: מודל עדכני של השתתפות בית ספרית מדגיש שהשתתפות אינה נוכחות פיזית בלבד אלא מעורבות ממשית בפעילויות, בלמידה ובקשרים, ושנדרשות התערבויות מכוונות כדי לקדמה בקרב תלמידים על הרצף ובני גילם (Hodges et al., 2022). הצלחת ההכלה מחייבת לפיכך "מעטפת" ארגונית שלמה, הכוללת ניהול מקרה, בסיס לעבודת צוות יעילה, תהליכי הערכה מובנים והעצמת הידע והמסוגלות של הצוות החינוכי (בינג וחיימי, 2025). השילוב הוא אפוא תהליך הדורש תנאים, הכנה וליווי, ולא אירוע מנהלי חד-פעמי.</w:t>
      </w:r>
    </w:p>
    <w:p>
      <w:pPr>
        <w:bidi/>
        <w:spacing w:after="0" w:line="360" w:lineRule="auto"/>
        <w:jc w:val="both"/>
      </w:pPr>
      <w:r>
        <w:rPr>
          <w:rFonts w:ascii="Times New Roman" w:cs="David" w:hAnsi="Times New Roman"/>
          <w:b w:val="false"/>
          <w:i w:val="false"/>
          <w:noProof/>
          <w:sz w:val="24"/>
          <w:szCs w:val="24"/>
          <w:rtl/>
          <w:lang w:val="en-US" w:bidi="he-IL"/>
        </w:rPr>
        <w:t xml:space="preserve">מהו אפוא המענה הארגוני הנדרש? בינג וחיימי (2025) מפרטים חמישה מרכיבים: מנהל מקרה המרכז את הטיפול בתלמיד; בסיס לעבודת צוות יעילה; הבניית תהליכי הערכה סדורים; העצמת הידע והמסוגלות של הצוות החינוכי; והובלת שינוי ברמה המערכתית לשם הטמעת ערכים ונהלים. נקודת המוצא שלהם ראויה לציון: התפרצויות רגשיות והתנהגותיות הן שפתם של תלמידים שקולם אינו מספיק להם ושהמבוגרים סביבם אינם מצליחים להקשיב להם בדרך המתאימה, ולכן המענה הראוי הוא הקשבה מערכתית מאורגנת, לא ענישה. עיקרון זה יחזור ויעלה בהמשך הסקירה, בדמות התערבויות המבקשות לתת לתלמיד שפה חברתית נגישה.</w:t>
      </w:r>
    </w:p>
    <w:p>
      <w:pPr>
        <w:bidi/>
        <w:spacing w:after="120" w:before="240" w:line="360" w:lineRule="auto"/>
        <w:jc w:val="right"/>
      </w:pPr>
      <w:r>
        <w:rPr>
          <w:rFonts w:ascii="Times New Roman" w:cs="David" w:hAnsi="Times New Roman"/>
          <w:b/>
          <w:bCs/>
          <w:i w:val="false"/>
          <w:noProof/>
          <w:sz w:val="28"/>
          <w:szCs w:val="28"/>
          <w:rtl/>
          <w:lang w:val="en-US" w:bidi="he-IL"/>
        </w:rPr>
        <w:t xml:space="preserve">2. תלמידים על הרצף האוטיסטי: מאפיינים ואתגרים חברתיים-רגשיים</w:t>
      </w:r>
    </w:p>
    <w:p>
      <w:pPr>
        <w:bidi/>
        <w:spacing w:after="0" w:line="360" w:lineRule="auto"/>
        <w:jc w:val="both"/>
      </w:pPr>
      <w:r>
        <w:rPr>
          <w:rFonts w:ascii="Times New Roman" w:cs="David" w:hAnsi="Times New Roman"/>
          <w:b w:val="false"/>
          <w:i w:val="false"/>
          <w:noProof/>
          <w:sz w:val="24"/>
          <w:szCs w:val="24"/>
          <w:rtl/>
          <w:lang w:val="en-US" w:bidi="he-IL"/>
        </w:rPr>
        <w:t xml:space="preserve">אוטיזם (ASD) הוא מצב התפתחותי המאופיין בקשיים מתמשכים בתקשורת ובאינטראקציה החברתית, לצד דפוסי התנהגות ותחומי עניין מוגבלים וחזרתיים (Zeidan et al., 2022). לצד ההגדרה הקלינית ראוי לציין כי הקהילה האוטיסטית עצמה מבקשת לראות באוטיזם שונות נוירולוגית מולדת, המשפיעה על אופני התפיסה ועיבוד המידע, ומתנגדת להגדרתו כהפרעה (אלון מן וברק, 2025).</w:t>
      </w:r>
    </w:p>
    <w:p>
      <w:pPr>
        <w:bidi/>
        <w:spacing w:after="0" w:line="360" w:lineRule="auto"/>
        <w:jc w:val="both"/>
      </w:pPr>
      <w:r>
        <w:rPr>
          <w:rFonts w:ascii="Times New Roman" w:cs="David" w:hAnsi="Times New Roman"/>
          <w:b w:val="false"/>
          <w:i w:val="false"/>
          <w:noProof/>
          <w:sz w:val="24"/>
          <w:szCs w:val="24"/>
          <w:rtl/>
          <w:lang w:val="en-US" w:bidi="he-IL"/>
        </w:rPr>
        <w:t xml:space="preserve">חשוב להדגיש שהרצף הוא אכן רצף: תלמידים המאובחנים עם ASD מתאפיינים בשונות רבה ביכולותיהם, בצורכיהם ובאופני התפקוד שלהם (Berard et al., 2017). שונות זו בולטת במיוחד בכיתת תקשורת רב-גילאית, שבה לומדים זה לצד זה תלמידים בגילים שונים וברמות תפקוד שונות, והיא מחייבת את המורה להתאים כל תוכנית, מובנית ככל שתהיה, לכל תלמיד בנפרד. מכאן שגם תוכנית אחת ואחידה מיושמת בפועל בכמה גרסאות במקביל, עובדה שתעמוד ברקע הדיון בהערכת היישום.</w:t>
      </w:r>
    </w:p>
    <w:p>
      <w:pPr>
        <w:bidi/>
        <w:spacing w:after="0" w:line="360" w:lineRule="auto"/>
        <w:jc w:val="both"/>
      </w:pPr>
      <w:r>
        <w:rPr>
          <w:rFonts w:ascii="Times New Roman" w:cs="David" w:hAnsi="Times New Roman"/>
          <w:b w:val="false"/>
          <w:i w:val="false"/>
          <w:noProof/>
          <w:sz w:val="24"/>
          <w:szCs w:val="24"/>
          <w:rtl/>
          <w:lang w:val="en-US" w:bidi="he-IL"/>
        </w:rPr>
        <w:t xml:space="preserve">אין מדובר בקבוצה שולית, ושכיחותה נמצאת במגמת עלייה עקבית. סקירה שיטתית עדכנית, שסיכמה 99 אומדנים מ-71 מחקרים שפורסמו מאז שנת 2012, העמידה את השכיחות העולמית החציונית של האוטיזם על כאחד מכל מאה ילדים (Zeidan et al., 2022). בישראל, על פי נתונים שהציגו אלון מן וברק (2025), למדו במערכת החינוך בשנת 2024 כ-44 אלף תלמידים אוטיסטים, שהם יותר מחמישית מכלל התלמידים עם מוגבלויות. כ-41% מהם למדו במסגרות חינוך מיוחד, כשליש בכיתות רגילות עם סל תמיכות אישי, וכרבע בכיתות חינוך מיוחד בתוך בתי ספר רגילים, דוגמת כיתות התקשורת שבהן מתמקד המחקר הנוכחי. נתונים אלה מלמדים שכל איש חינוך צפוי לפגוש תלמידים על הרצף במהלך עבודתו, ושאלת המענה החינוכי המתאים אינה עוד שאלה של מומחים בלבד.</w:t>
      </w:r>
    </w:p>
    <w:p>
      <w:pPr>
        <w:bidi/>
        <w:spacing w:after="0" w:line="360" w:lineRule="auto"/>
        <w:jc w:val="both"/>
      </w:pPr>
      <w:r>
        <w:rPr>
          <w:rFonts w:ascii="Times New Roman" w:cs="David" w:hAnsi="Times New Roman"/>
          <w:b w:val="false"/>
          <w:i w:val="false"/>
          <w:noProof/>
          <w:sz w:val="24"/>
          <w:szCs w:val="24"/>
          <w:rtl/>
          <w:lang w:val="en-US" w:bidi="he-IL"/>
        </w:rPr>
        <w:t xml:space="preserve">ראוי לציין שהאומדנים השונים נעים בטווח רחב מאוד, מכאחד לעשרת אלפים ועד יותר מארבעה אחוזים, והפערים משקפים בעיקר הבדלים בהגדרות, בשיטות האיתור ובנגישות האבחון בין מדינות ובין תקופות (Zeidan et al., 2022). מבחינת מערכת החינוך המשמעות ברורה: ככל שהמודעות והאבחון משתפרים, מספר התלמידים המאובחנים גדל, והצורך במענים חינוכיים סדורים ומבוססי ידע גדל עימו.</w:t>
      </w:r>
    </w:p>
    <w:p>
      <w:pPr>
        <w:bidi/>
        <w:spacing w:after="0" w:line="360" w:lineRule="auto"/>
        <w:jc w:val="both"/>
      </w:pPr>
      <w:r>
        <w:rPr>
          <w:rFonts w:ascii="Times New Roman" w:cs="David" w:hAnsi="Times New Roman"/>
          <w:b w:val="false"/>
          <w:i w:val="false"/>
          <w:noProof/>
          <w:sz w:val="24"/>
          <w:szCs w:val="24"/>
          <w:rtl/>
          <w:lang w:val="en-US" w:bidi="he-IL"/>
        </w:rPr>
        <w:t xml:space="preserve">הקושי המרכזי של תלמידים על הרצף האוטיסטי (ASD) אינו בהכרח לימודי, אלא ממוקד בתקשורת החברתית, ובכלל זה בהבנת שפה פיגורטיבית ובביצוע ההיקשים הנדרשים לפירוש סיטואציות חברתיות (גרומן וצוריאל, 2022). הקושי מתחדד דווקא במצבים הבלתי פורמליים של יום הלימודים: מצבים אלה, כגון שיחה חופשית בהפסקה, מתאפיינים בבחירה, בגמישות ובגיוון, אין בהם דמות מבוגר מתווכת ואין כללים מובנים וידועים מראש, לא בתוכן ולא בצורת השיחה, ולכן התלמיד עם האוטיזם נדרש בהם יותר מתמיד להפעיל בדיוק את שיקול הדעת, הגמישות וההבנה החברתית שבהם הוא מתקשה (וירוב ואחרים, 2018). לקושי החברתי מתלווה פגיעות רגשית: מחקר השוואתי שנערך בבתי ספר על-יסודיים רגילים מצא בקרב תלמידים על הרצף רמות גבוהות יותר של קשיים רגשיים והתנהגותיים בהשוואה לבני גילם (Hebron &amp; Humphrey, 2014), ורמות החרדה הגבוהות באוכלוסייה זו הביאו לכך שסקירה שיטתית ייחודית הוקדשה להתערבויות להפחתת חרדה בקרב תלמידים על הרצף הלומדים דווקא בבתי ספר רגילים (Hillman et al., 2020).</w:t>
      </w:r>
    </w:p>
    <w:p>
      <w:pPr>
        <w:bidi/>
        <w:spacing w:after="0" w:line="360" w:lineRule="auto"/>
        <w:jc w:val="both"/>
      </w:pPr>
      <w:r>
        <w:rPr>
          <w:rFonts w:ascii="Times New Roman" w:cs="David" w:hAnsi="Times New Roman"/>
          <w:b w:val="false"/>
          <w:i w:val="false"/>
          <w:noProof/>
          <w:sz w:val="24"/>
          <w:szCs w:val="24"/>
          <w:rtl/>
          <w:lang w:val="en-US" w:bidi="he-IL"/>
        </w:rPr>
        <w:t xml:space="preserve">החרדה באוכלוסייה זו אינה תופעת לוואי שולית אלא גורם המעצב את חוויית בית הספר כולה: היא ניזונה מאי-הוודאות של המרחב החברתי ומזינה בתורה הימנעות ממנו. בהתאם לכך, למידה מכוונת ושיטתית, המפחיתה את תחושת אי-הוודאות, נמצאה קשורה להפחתת החרדה עצמה (Hebron &amp; Humphrey, 2014), והיקף הבעיה הוליד גוף מחקר שלם המוקדש להתערבויות להפחתת חרדה דווקא בסביבת בית הספר הרגיל (Hillman et al., 2020). מכאן שתוכנית המקנה סדר וכללים ברורים למרחב החברתי פועלת בעת ובעונה אחת על שני מישורים: החברתי והרגשי.</w:t>
      </w:r>
    </w:p>
    <w:p>
      <w:pPr>
        <w:bidi/>
        <w:spacing w:after="0" w:line="360" w:lineRule="auto"/>
        <w:jc w:val="both"/>
      </w:pPr>
      <w:r>
        <w:rPr>
          <w:rFonts w:ascii="Times New Roman" w:cs="David" w:hAnsi="Times New Roman"/>
          <w:b w:val="false"/>
          <w:i w:val="false"/>
          <w:noProof/>
          <w:sz w:val="24"/>
          <w:szCs w:val="24"/>
          <w:rtl/>
          <w:lang w:val="en-US" w:bidi="he-IL"/>
        </w:rPr>
        <w:t xml:space="preserve">רובד שלישי של האתגר הוא קוגניטיבי, ומרכזו התפקודים הניהוליים: בקרה, ויסות עצמי, תכנון וגמישות מחשבתית. פגיעה בתפקודים אלה נמצאה קשורה אצל תלמידים על הרצף גם ללמידה החברתית-רגשית וגם לכשירות החברתית בפועל (Berard et al., 2017), ותוכניות אימון קוגניטיבי המכוונות אליהם נמצאו בעלות פוטנציאל לשיפורם (Pasqualotto et al., 2021). השפעת התפקודים הניהוליים ניכרת גם בתחום הלימודי: יש תלמידים על הרצף הקוראים טקסט ברמת המילה ללא קושי, אך מתקשים להעביר את תשומת הלב מהקריאה אל הבנת הנקרא ולהתמיד במשימה, דפוס הנקשר לליקויים בתהליכי הבקרה והוויסות (שרייבר וסגל, 2018). כך נוצרת תמונה שבה קשיים חברתיים, רגשיים וקוגניטיביים מזינים זה את זה ומעצימים את אתגר ההשתלבות.</w:t>
      </w:r>
    </w:p>
    <w:p>
      <w:pPr>
        <w:bidi/>
        <w:spacing w:after="0" w:line="360" w:lineRule="auto"/>
        <w:jc w:val="both"/>
      </w:pPr>
      <w:r>
        <w:rPr>
          <w:rFonts w:ascii="Times New Roman" w:cs="David" w:hAnsi="Times New Roman"/>
          <w:b w:val="false"/>
          <w:i w:val="false"/>
          <w:noProof/>
          <w:sz w:val="24"/>
          <w:szCs w:val="24"/>
          <w:rtl/>
          <w:lang w:val="en-US" w:bidi="he-IL"/>
        </w:rPr>
        <w:t xml:space="preserve">הבחנה חשובה נוגעת לאופן שבו נרכשות מיומנויות חברתיות באוכלוסייה זו. אצל תלמידים עם התפתחות תקינה נרכשות מיומנויות אלה באופן טבעי, מתוך חיקוי הסביבה, ואילו אצל תלמידים עם אוטיזם בתפקוד גבוה הלמידה החברתית מתרחשת בתיווך רב ובהדרגה (וירוב ואחרים, 2018). מכאן שחשיפה לסביבה רגילה, חשובה ככל שתהיה, אינה מספיקה כשלעצמה: נדרשות התנסויות מתווכות ומובנות במגוון מצבים, שיאפשרו לתלמיד לרכוש את הכישורים החברתיים ולהתנהל בעצמאות הולכת וגוברת בחברה.</w:t>
      </w:r>
    </w:p>
    <w:p>
      <w:pPr>
        <w:bidi/>
        <w:spacing w:after="0" w:line="360" w:lineRule="auto"/>
        <w:jc w:val="both"/>
      </w:pPr>
      <w:r>
        <w:rPr>
          <w:rFonts w:ascii="Times New Roman" w:cs="David" w:hAnsi="Times New Roman"/>
          <w:b w:val="false"/>
          <w:i w:val="false"/>
          <w:noProof/>
          <w:sz w:val="24"/>
          <w:szCs w:val="24"/>
          <w:rtl/>
          <w:lang w:val="en-US" w:bidi="he-IL"/>
        </w:rPr>
        <w:t xml:space="preserve">ממאפיינים אלה נגזרת השלכה מתודולוגית שחשוב להצביע עליה כבר כאן. אם הקושי מתגלה בעיקר במרחבים הבלתי פורמליים ובמצבים שאינם מובנים, הרי שהערכה של מיומנויות חברתיות ושל תוכניות לטיפוחן אינה יכולה להסתפק במבחני ידע או בתצפית במצב מובנה: היא נדרשת להתבונן גם בהתנהלות בהפסקה, בחצר ובמעברים, ובאופן שבו הנלמד בשיעור מחלחל אל ההתנהלות הטבעית (וירוב ואחרים, 2018; Hodges et al., 2022). תובנה זו תלווה את דיון ההערכה בהמשך.</w:t>
      </w:r>
    </w:p>
    <w:p>
      <w:pPr>
        <w:bidi/>
        <w:spacing w:after="0" w:line="360" w:lineRule="auto"/>
        <w:jc w:val="both"/>
      </w:pPr>
      <w:r>
        <w:rPr>
          <w:rFonts w:ascii="Times New Roman" w:cs="David" w:hAnsi="Times New Roman"/>
          <w:b w:val="false"/>
          <w:i w:val="false"/>
          <w:noProof/>
          <w:sz w:val="24"/>
          <w:szCs w:val="24"/>
          <w:rtl/>
          <w:lang w:val="en-US" w:bidi="he-IL"/>
        </w:rPr>
        <w:t xml:space="preserve">גם כאשר ההתערבות מכוונת ישירות למיומנויות חברתיות, יעילותה אינה מובנת מאליה. קבוצות לאימון מיומנויות חברתיות הפועלות בבית הספר נמצאו יעילות, אך ניסוי אקראי מבוקר שהשווה בין תנאי התערבות שונים מצא כי היעילות מושפעת מהרכב הקבוצה ומסביבת ההתערבות (Dean et al., 2020). המסקנה המצטברת היא שהתחום החברתי-רגשי אינו משתפר מאליו עם ההשמה בכיתה, אלא מחייב תכנון מדוקדק, התאמה לאוכלוסייה ומענה מפורש.</w:t>
      </w:r>
    </w:p>
    <w:p>
      <w:pPr>
        <w:bidi/>
        <w:spacing w:after="120" w:before="240" w:line="360" w:lineRule="auto"/>
        <w:jc w:val="right"/>
      </w:pPr>
      <w:r>
        <w:rPr>
          <w:rFonts w:ascii="Times New Roman" w:cs="David" w:hAnsi="Times New Roman"/>
          <w:b/>
          <w:bCs/>
          <w:i w:val="false"/>
          <w:noProof/>
          <w:sz w:val="28"/>
          <w:szCs w:val="28"/>
          <w:rtl/>
          <w:lang w:val="en-US" w:bidi="he-IL"/>
        </w:rPr>
        <w:t xml:space="preserve">3. שילוב תלמידים על הרצף האוטיסטי בחינוך הרגיל</w:t>
      </w:r>
    </w:p>
    <w:p>
      <w:pPr>
        <w:bidi/>
        <w:spacing w:after="0" w:line="360" w:lineRule="auto"/>
        <w:jc w:val="both"/>
      </w:pPr>
      <w:r>
        <w:rPr>
          <w:rFonts w:ascii="Times New Roman" w:cs="David" w:hAnsi="Times New Roman"/>
          <w:b w:val="false"/>
          <w:i w:val="false"/>
          <w:noProof/>
          <w:sz w:val="24"/>
          <w:szCs w:val="24"/>
          <w:rtl/>
          <w:lang w:val="en-US" w:bidi="he-IL"/>
        </w:rPr>
        <w:t xml:space="preserve">שילובם של תלמידים על הרצף נחשב מן המורכבים שבתחומי השילוב. בסקירת הספרות שהציגו וירוב ואחרים (2018) עולה כי שילובם החברתי של תלמידים עם מוגבלות פיזית, נוירולוגית או חושית מוצלח יותר משילובם של תלמידים עם אוטיזם, וכי לצד זאת גם התלמידים המשלבים עצמם נתרמים מן המפגש עם התלמידים המשולבים. הצלחת השילוב אינה חד-ערכית: היא נמדדת ביחס למטרות שהוצבו לתהליך ותלויה בהתקיימותם של תנאים תומכים, ושאלת המסגרת המתאימה לילד נדונה במהלך חייו יותר מפעם אחת, ולא פעם היא מלווה במשא ומתן מתמשך בין ההורים למערכת החינוכית (גילת ובורנשטיין, 2018; אלון מן וברק, 2025).</w:t>
      </w:r>
    </w:p>
    <w:p>
      <w:pPr>
        <w:bidi/>
        <w:spacing w:after="0" w:line="360" w:lineRule="auto"/>
        <w:jc w:val="both"/>
      </w:pPr>
      <w:r>
        <w:rPr>
          <w:rFonts w:ascii="Times New Roman" w:cs="David" w:hAnsi="Times New Roman"/>
          <w:b w:val="false"/>
          <w:i w:val="false"/>
          <w:noProof/>
          <w:sz w:val="24"/>
          <w:szCs w:val="24"/>
          <w:rtl/>
          <w:lang w:val="en-US" w:bidi="he-IL"/>
        </w:rPr>
        <w:t xml:space="preserve">שותפים מרכזיים בתהליך השילוב הם ההורים, ומעמדם אינו מסתכם בזכות החוקית להשתתף בהחלטת ההשמה. מחקר שבחן אימהות לילדים עם צרכים ייחודיים תיעד כיצד הן מתגייסות באופן פעיל לקידום שילובם של ילדיהן בכיתה הרגילה ונושאות בחלק ניכר מנטל התיווך מול המערכת (גילת ובורנשטיין, 2018). בה בעת, הורים לילדים אוטיסטים מדווחים גם על חוויות קשות של ילדיהם במערכת ועל תחושה שהצוותים אינם מבינים את צורכיהם (אלון מן וברק, 2025). שילוב מוצלח מחייב אפוא ראיית ההורים כשותפים של ממש: הם מקור ידע ייחודי על הילד, אך גם צד הזקוק בעצמו לתקשורת סדירה ולשקיפות מצד בית הספר.</w:t>
      </w:r>
    </w:p>
    <w:p>
      <w:pPr>
        <w:bidi/>
        <w:spacing w:after="0" w:line="360" w:lineRule="auto"/>
        <w:jc w:val="both"/>
      </w:pPr>
      <w:r>
        <w:rPr>
          <w:rFonts w:ascii="Times New Roman" w:cs="David" w:hAnsi="Times New Roman"/>
          <w:b w:val="false"/>
          <w:i w:val="false"/>
          <w:noProof/>
          <w:sz w:val="24"/>
          <w:szCs w:val="24"/>
          <w:rtl/>
          <w:lang w:val="en-US" w:bidi="he-IL"/>
        </w:rPr>
        <w:t xml:space="preserve">המחקר על האימהות מלמד עד כמה עמוקה התגייסות זו. אימהות מתגייסות למען שילוב ילדן יותר מבני זוגן, גם כאשר ההורים נשארים יחד כזוג, וההתמסרות לילד והאכפתיות כלפיו נחוות אצלן כמשימה אתית וערכית (גילת ובורנשטיין, 2018). הנרטיב של האימהות חושף את שפע הפעולות הפיזיות והרגשיות הנעשות מאחורי הקלעים למען הצלחת השילוב, ומאיר הן את הפוטנציאל הטמון בשותפות אמיתית בין הצוות החינוכי להורים הן את המחיר האישי הכרוך בנשיאת הנטל לבדן.</w:t>
      </w:r>
    </w:p>
    <w:p>
      <w:pPr>
        <w:bidi/>
        <w:spacing w:after="0" w:line="360" w:lineRule="auto"/>
        <w:jc w:val="both"/>
      </w:pPr>
      <w:r>
        <w:rPr>
          <w:rFonts w:ascii="Times New Roman" w:cs="David" w:hAnsi="Times New Roman"/>
          <w:b w:val="false"/>
          <w:i w:val="false"/>
          <w:noProof/>
          <w:sz w:val="24"/>
          <w:szCs w:val="24"/>
          <w:rtl/>
          <w:lang w:val="en-US" w:bidi="he-IL"/>
        </w:rPr>
        <w:t xml:space="preserve">המפגש עם בני גיל בעלי התפתחות תקינה פועל בשני כיוונים. מצד אחד, בני הגיל מציגים דגמים של התנהגות חברתית נורמטיבית, והיוזמות החברתיות שלהם כלפי התלמיד המשולב הן כלי חיוני לקידום יכולותיו החברתיות (וירוב ואחרים, 2018). מצד שני, עדויות עדכניות מלמדות שתלמידים אוטיסטים מתמודדים עם יחס סטיגמטי, עם בדידות ועם חוויות של דחייה והצקה, ועם מסגרות שאינן יודעות תמיד להתאים את עצמן לצורכיהם (אלון מן וברק, 2025). המפגש המשלב הוא אפוא הזדמנות התפתחותית ממשית, אך גם זירת פגיעה אפשרית, והכף מוכרעת על פי אופן הליווי והתיווך.</w:t>
      </w:r>
    </w:p>
    <w:p>
      <w:pPr>
        <w:bidi/>
        <w:spacing w:after="0" w:line="360" w:lineRule="auto"/>
        <w:jc w:val="both"/>
      </w:pPr>
      <w:r>
        <w:rPr>
          <w:rFonts w:ascii="Times New Roman" w:cs="David" w:hAnsi="Times New Roman"/>
          <w:b w:val="false"/>
          <w:i w:val="false"/>
          <w:noProof/>
          <w:sz w:val="24"/>
          <w:szCs w:val="24"/>
          <w:rtl/>
          <w:lang w:val="en-US" w:bidi="he-IL"/>
        </w:rPr>
        <w:t xml:space="preserve">ההצלחה תלויה גם בסביבה החברתית המקיפה את התלמיד המשולב, ולא רק בו עצמו. גישה עדכנית מציעה לפיכך התערבויות המכוונות אל הכיתה כולה: הודג'ס ואחרים (Hodges et al., 2022) פיתחו מודל של השתתפות בית ספרית, המגדיר השתתפות כמעורבות ממשית בפעילויות, בלמידה ובקשרים החברתיים, והציגו התערבות בית ספרית שנועדה לקדם במשולב את השתתפותם של תלמידים על הרצף ושל בני גילם עם התפתחות תקינה. ההנחה העומדת בבסיס גישה זו היא שהשקעה בסביבה המשלבת, בכיתה ובעמיתים, היא חלק בלתי נפרד מהשקעה בתלמיד המשולב עצמו.</w:t>
      </w:r>
    </w:p>
    <w:p>
      <w:pPr>
        <w:bidi/>
        <w:spacing w:after="0" w:line="360" w:lineRule="auto"/>
        <w:jc w:val="both"/>
      </w:pPr>
      <w:r>
        <w:rPr>
          <w:rFonts w:ascii="Times New Roman" w:cs="David" w:hAnsi="Times New Roman"/>
          <w:b w:val="false"/>
          <w:i w:val="false"/>
          <w:noProof/>
          <w:sz w:val="24"/>
          <w:szCs w:val="24"/>
          <w:rtl/>
          <w:lang w:val="en-US" w:bidi="he-IL"/>
        </w:rPr>
        <w:t xml:space="preserve">ואולם עמדות חיוביות לבדן אינן מיתרגמות לקשר חברתי ממשי. וירוב ואחרים (2018) בדקו בשיטה כמותנית, באמצעות שני שאלונים ושאלות פתוחות, כמאה תלמידי תיכון עם התפתחות תקינה משני בתי ספר, ומצאו פער מובהק בין עמדותיהם החיוביות כלפי שילוב תלמידים עם אוטיזם בתפקוד גבוה לבין מיעוט היוזמות החברתיות שלהם כלפי התלמידים המשולבים במפגשים בלתי פורמליים, כגון הפסקה וטיול. החוקרים הסבירו את הקושי בנקיטת יוזמה חברתית באופייה של לקות התקשורת, בגיל ההתבגרות ובחוסר הפורמליות של הסיטואציות, והציעו תפיסה המעבירה את האחריות על הקשרים החברתיים מהצוות החינוכי אל בני הנוער עצמם. חשיבות מיוחדת יש לממצא שלפיו הפער מתגלה דווקא במרחבים שבהם אין מבוגר מתווך, שכן אלה המרחבים שבהם נבחנת בפועל הכללתו החברתית של התלמיד.</w:t>
      </w:r>
    </w:p>
    <w:p>
      <w:pPr>
        <w:bidi/>
        <w:spacing w:after="0" w:line="360" w:lineRule="auto"/>
        <w:jc w:val="both"/>
      </w:pPr>
      <w:r>
        <w:rPr>
          <w:rFonts w:ascii="Times New Roman" w:cs="David" w:hAnsi="Times New Roman"/>
          <w:b w:val="false"/>
          <w:i w:val="false"/>
          <w:noProof/>
          <w:sz w:val="24"/>
          <w:szCs w:val="24"/>
          <w:rtl/>
          <w:lang w:val="en-US" w:bidi="he-IL"/>
        </w:rPr>
        <w:t xml:space="preserve">מהמחקר נגזרו גם המלצות מעשיות. העלאת מודעות בכיתה המשלבת למאפייני הלקות היא צעד מקובל, אולם ממצאים שונים מלמדים שמידע על האוטיזם כשלעצמו אינו מבטיח שינוי בעמדות, ולכן הדגש צריך להיות רחב יותר: הפניית המבט אל התלמיד המשלב עצמו ואל התועלת שתצמח לו מהשילוב, הדגשת המחויבות החברתית והבלטת נחיצותם של התלמידים המשלבים עבור התלמיד המשולב, כדי לייצר אצלם אחריות ועקביות שילוו אותם גם מעבר לכותלי בית הספר (וירוב ואחרים, 2018).</w:t>
      </w:r>
    </w:p>
    <w:p>
      <w:pPr>
        <w:bidi/>
        <w:spacing w:after="0" w:line="360" w:lineRule="auto"/>
        <w:jc w:val="both"/>
      </w:pPr>
      <w:r>
        <w:rPr>
          <w:rFonts w:ascii="Times New Roman" w:cs="David" w:hAnsi="Times New Roman"/>
          <w:b w:val="false"/>
          <w:i w:val="false"/>
          <w:noProof/>
          <w:sz w:val="24"/>
          <w:szCs w:val="24"/>
          <w:rtl/>
          <w:lang w:val="en-US" w:bidi="he-IL"/>
        </w:rPr>
        <w:t xml:space="preserve">את התמונה משלימה נקודת מבטם של האוטיסטים עצמם. במחקר איכותני משתף, שנכתב בהובלת חוקרת אוטיסטית והשתתפו בו 24 אוטיסטים בוגרי מערכת החינוך ו-21 הורים לילדים אוטיסטים, עלו ארבע תמות משותפות: חוסר ידע והבנה מצד הצוותים והמערכת לצד הכשרה בלתי מספקת; חוויות סבל שמקורן באינטראקציות עם ילדים אחרים, באינטראקציות עם הצוות ובאי-התאמה של הסביבה; נקודות אור וחוויות חיוביות של סיוע, הנגשה והתנהלות מיטיבה; ומפגשים מועטים עם תלמידים ואנשים עם מוגבלות (אלון מן וברק, 2025). מסקנת החוקרות הייתה שהמערכת פועלת ברוח המודל הרפואי של מוגבלות ודורשת מהתלמיד להתאים את עצמו אליה, ודרישה זו כשלעצמה היא מקור מרכזי לסבל; חינוך מכליל, לשיטתן, מחייב הגדרת מטרות ההכללה כמטרות בית הספר, אימוץ ערכי גישת המגוון הנוירולוגי והכשרת אנשי חינוך לאורם. החוליה החלשה של השילוב היא אפוא החוליה החברתית-רגשית, וכאן נדרשת התערבות מכוונת.</w:t>
      </w:r>
    </w:p>
    <w:p>
      <w:pPr>
        <w:bidi/>
        <w:spacing w:after="0" w:line="360" w:lineRule="auto"/>
        <w:jc w:val="both"/>
      </w:pPr>
      <w:r>
        <w:rPr>
          <w:rFonts w:ascii="Times New Roman" w:cs="David" w:hAnsi="Times New Roman"/>
          <w:b w:val="false"/>
          <w:i w:val="false"/>
          <w:noProof/>
          <w:sz w:val="24"/>
          <w:szCs w:val="24"/>
          <w:rtl/>
          <w:lang w:val="en-US" w:bidi="he-IL"/>
        </w:rPr>
        <w:t xml:space="preserve">לצד הקשיים תיארו הבוגרים וההורים גם נקודות אור: סיוע ממשי של אנשי צוות, הנגשות והתנהלות בית ספרית שעזרו, וחוויות חיוביות במסגרות חינוך אלטרנטיביות; תמה נוספת שעלתה היא מיעוט המפגשים עם תלמידים ואנשים אחרים עם מוגבלות (אלון מן וברק, 2025). נקודות האור חשובות לענייננו במיוחד: הן מוכיחות שכאשר הצוות פועל בדרך מותאמת, החוויה של התלמיד משתנה מן הקצה אל הקצה, ולכן דרכי הפעולה של הצוות, ולא רק מאפייני התלמיד, הן מושא ראוי והכרחי למחקר.</w:t>
      </w:r>
    </w:p>
    <w:p>
      <w:pPr>
        <w:bidi/>
        <w:spacing w:after="0" w:line="360" w:lineRule="auto"/>
        <w:jc w:val="both"/>
      </w:pPr>
      <w:r>
        <w:rPr>
          <w:rFonts w:ascii="Times New Roman" w:cs="David" w:hAnsi="Times New Roman"/>
          <w:b w:val="false"/>
          <w:i w:val="false"/>
          <w:noProof/>
          <w:sz w:val="24"/>
          <w:szCs w:val="24"/>
          <w:rtl/>
          <w:lang w:val="en-US" w:bidi="he-IL"/>
        </w:rPr>
        <w:t xml:space="preserve">מסקנתן המערכתית של אלון מן וברק (2025) מרחיקה מעבר לתיאור: לטענתן, חינוך מכליל מחייב להגדיר את מטרות ההכללה כמטרות בית הספר עצמו, לאמץ את ערכי גישת המגוון הנוירולוגי ולהכשיר לאורם את אנשי החינוך, ואבן היסוד היא הכללה של אוטיסטים בכל המארג האנושי של בית הספר: תלמידים, אנשי חינוך, טיפול ומנהלה. תפיסה זו הופכת את שאלת ההתערבות משאלה על "תיקון" התלמיד לשאלה על התאמת הסביבה, והיא מסגרת ערכית שראוי שכל תוכנית חברתית-רגשית תיבחן גם לאורה.</w:t>
      </w:r>
    </w:p>
    <w:p>
      <w:pPr>
        <w:bidi/>
        <w:spacing w:after="120" w:before="240" w:line="360" w:lineRule="auto"/>
        <w:jc w:val="right"/>
      </w:pPr>
      <w:r>
        <w:rPr>
          <w:rFonts w:ascii="Times New Roman" w:cs="David" w:hAnsi="Times New Roman"/>
          <w:b/>
          <w:bCs/>
          <w:i w:val="false"/>
          <w:noProof/>
          <w:sz w:val="28"/>
          <w:szCs w:val="28"/>
          <w:rtl/>
          <w:lang w:val="en-US" w:bidi="he-IL"/>
        </w:rPr>
        <w:t xml:space="preserve">4. למידה חברתית-רגשית והתערבויות מובנות לתלמידים על הרצף</w:t>
      </w:r>
    </w:p>
    <w:p>
      <w:pPr>
        <w:bidi/>
        <w:spacing w:after="0" w:line="360" w:lineRule="auto"/>
        <w:jc w:val="both"/>
      </w:pPr>
      <w:r>
        <w:rPr>
          <w:rFonts w:ascii="Times New Roman" w:cs="David" w:hAnsi="Times New Roman"/>
          <w:b w:val="false"/>
          <w:i w:val="false"/>
          <w:noProof/>
          <w:sz w:val="24"/>
          <w:szCs w:val="24"/>
          <w:rtl/>
          <w:lang w:val="en-US" w:bidi="he-IL"/>
        </w:rPr>
        <w:t xml:space="preserve">למידה חברתית-רגשית (SEL) היא תהליך שיטתי שבו לומדים רוכשים ידע, עמדות ומיומנויות הדרושים לזיהוי רגשות ולניהולם, לפיתוח אמפתיה ולבניית מערכות יחסים חיוביות (מזרחי ויריב, 2022). הבסיס האמפירי לתחום רחב במיוחד: מטה-אנליזה עדכנית, שסיכמה 424 מחקרים מ-53 מדינות והשתתפו בהם יותר מ-575 אלף תלמידים, מצאה שתוכניות אוניברסליות ללמידה חברתית-רגשית משפרות באופן מובהק מיומנויות חברתיות-רגשיות, עמדות והתנהגויות פרו-חברתיות, ולצידן גם את ההישגים הלימודיים (Cipriano et al., 2023). ממצא זה חיזק את מעמדה של הלמידה החברתית-רגשית כמרכיב ליבה של העשייה הבית ספרית, ולא כתוספת לה.</w:t>
      </w:r>
    </w:p>
    <w:p>
      <w:pPr>
        <w:bidi/>
        <w:spacing w:after="0" w:line="360" w:lineRule="auto"/>
        <w:jc w:val="both"/>
      </w:pPr>
      <w:r>
        <w:rPr>
          <w:rFonts w:ascii="Times New Roman" w:cs="David" w:hAnsi="Times New Roman"/>
          <w:b w:val="false"/>
          <w:i w:val="false"/>
          <w:noProof/>
          <w:sz w:val="24"/>
          <w:szCs w:val="24"/>
          <w:rtl/>
          <w:lang w:val="en-US" w:bidi="he-IL"/>
        </w:rPr>
        <w:t xml:space="preserve">בישראל הוצבה הלמידה החברתית-רגשית כיעד מערכתי בעקבות עבודתה של ועדת מומחים מטעם יוזמה, מרכז לידע ולמחקר בחינוך של האקדמיה הלאומית הישראלית למדעים. הוועדה סקרה מחקרים, מודלים וקווי מדיניות מהארץ ומהעולם, המליצה לטפח מיומנויות חברתיות-רגשיות בכל שכבות הגיל, בתחומי המודעות העצמית, הניהול העצמי, המודעות החברתית, ניהול מערכות היחסים וקבלת ההחלטות, ועמדה גם על הצורך בפיתוח דרכי הערכה ומדידה מותאמות (בנבנישתי ופרידמן, 2020). הצבת היעד המערכתי מדגישה את הפער שבין ההצהרה ובין הכלים העומדים לרשות השדה להערכת יישומה.</w:t>
      </w:r>
    </w:p>
    <w:p>
      <w:pPr>
        <w:bidi/>
        <w:spacing w:after="0" w:line="360" w:lineRule="auto"/>
        <w:jc w:val="both"/>
      </w:pPr>
      <w:r>
        <w:rPr>
          <w:rFonts w:ascii="Times New Roman" w:cs="David" w:hAnsi="Times New Roman"/>
          <w:b w:val="false"/>
          <w:i w:val="false"/>
          <w:noProof/>
          <w:sz w:val="24"/>
          <w:szCs w:val="24"/>
          <w:rtl/>
          <w:lang w:val="en-US" w:bidi="he-IL"/>
        </w:rPr>
        <w:t xml:space="preserve">עם התבססות הראיות עברה שאלת המחקר בתחום מ"האם ללמד" ל"כיצד ליישם". יעילותן של תוכניות תלויה באיכות היישום, בהכשרת הצוות ובהתאמה להקשר המקומי, ולכן ההמלצה להציב את הלמידה החברתית-רגשית כיעד מערכתי מלווה בדרישה מפורשת לפתח דרכי הערכה ומדידה (בנבנישתי ופרידמן, 2020; Cipriano et al., 2023). שאלת היישום היא בדיוק השאלה שהמחקר הנוכחי מציב לגבי תוכנית אחת, בכיתה אחת, לעומק.</w:t>
      </w:r>
    </w:p>
    <w:p>
      <w:pPr>
        <w:bidi/>
        <w:spacing w:after="0" w:line="360" w:lineRule="auto"/>
        <w:jc w:val="both"/>
      </w:pPr>
      <w:r>
        <w:rPr>
          <w:rFonts w:ascii="Times New Roman" w:cs="David" w:hAnsi="Times New Roman"/>
          <w:b w:val="false"/>
          <w:i w:val="false"/>
          <w:noProof/>
          <w:sz w:val="24"/>
          <w:szCs w:val="24"/>
          <w:rtl/>
          <w:lang w:val="en-US" w:bidi="he-IL"/>
        </w:rPr>
        <w:t xml:space="preserve">בעבור תלמידים על הרצף האוטיסטי, הלמידה החברתית-רגשית אינה תוספת העשרה אלא ליבת המענה החינוכי. מוצע לשלב מטרות חברתיות-רגשיות באופן מפורש בתוכנית החינוכית האישית של תלמידים אלה כבר בגיל הצעיר, בשל מרכזיותן לתפקוד היומיומי ולרווחה האישית (Dale et al., 2022). הקשר שנמצא בין התפקודים הניהוליים, הלמידה החברתית-רגשית והכשירות החברתית מלמד שטיפוח התחום נוגע במנגנוני היסוד של הקושי, ולא רק בביטוייו הגלויים (Berard et al., 2017). נוסף על כך, למידה מכוונת ושיטתית מפחיתה את תחושת אי-הוודאות ואת החרדה הנלוות להתמודדות עם עולם חברתי בלתי צפוי (Hebron &amp; Humphrey, 2014), ובכך היא משרתת בעת ובעונה אחת את המטרה החברתית ואת המטרה הרגשית.</w:t>
      </w:r>
    </w:p>
    <w:p>
      <w:pPr>
        <w:bidi/>
        <w:spacing w:after="0" w:line="360" w:lineRule="auto"/>
        <w:jc w:val="both"/>
      </w:pPr>
      <w:r>
        <w:rPr>
          <w:rFonts w:ascii="Times New Roman" w:cs="David" w:hAnsi="Times New Roman"/>
          <w:b w:val="false"/>
          <w:i w:val="false"/>
          <w:noProof/>
          <w:sz w:val="24"/>
          <w:szCs w:val="24"/>
          <w:rtl/>
          <w:lang w:val="en-US" w:bidi="he-IL"/>
        </w:rPr>
        <w:t xml:space="preserve">ברמה המעשית, Dale ואחרים (Dale et al., 2022) מציעים מסגרת לשילוב מטרות חברתיות-רגשיות בתוכנית החינוכית האישית של ילדים צעירים על הרצף, מתוך הנחה פשוטה: מה שאינו מנוסח כמטרה מפורשת אינו זוכה להוראה שיטתית ואינו נמדד. המסגרת מתיישבת עם עקרון ההוראה המפורשת שנדון לעיל ומעניקה לצוות כלי לתכנון וללמעקב, והיא רלוונטית במיוחד לכיתת תקשורת, שבה לכל תלמיד תוכנית אישית.</w:t>
      </w:r>
    </w:p>
    <w:p>
      <w:pPr>
        <w:bidi/>
        <w:spacing w:after="0" w:line="360" w:lineRule="auto"/>
        <w:jc w:val="both"/>
      </w:pPr>
      <w:r>
        <w:rPr>
          <w:rFonts w:ascii="Times New Roman" w:cs="David" w:hAnsi="Times New Roman"/>
          <w:b w:val="false"/>
          <w:i w:val="false"/>
          <w:noProof/>
          <w:sz w:val="24"/>
          <w:szCs w:val="24"/>
          <w:rtl/>
          <w:lang w:val="en-US" w:bidi="he-IL"/>
        </w:rPr>
        <w:t xml:space="preserve">עדות ליכולתה של התערבות חברתית-רגשית מכוונת לחולל שינוי מספק חקר מקרה ישראלי שתיעד התערבות פרטנית אצל תלמידה עם ASD: ההתערבות הביאה לשיפור בתפקוד החברתי-רגשי, והשיפור נשמר גם במעקב שנערך ארבעה חודשים לאחר סיומה (מזרחי ויריב, 2022). אסטרטגיה מרכזית בהתערבויות מסוג זה היא "ניתוח מטלה", המפרק מיומנות חברתית מופשטת לשלבים ברורים ומובנים ובכך מחזק את תחושת המסוגלות והביטחון של התלמיד (מזרחי ויריב, 2022). ממצאים אלה מצטרפים לגוף ידע רחב יותר שלפיו התערבויות מובנות, המותאמות למאפייני העיבוד של תלמידים על הרצף, עשויות לקדם מיומנויות הנתפסות כמופשטות וכקשות להוראה ישירה.</w:t>
      </w:r>
    </w:p>
    <w:p>
      <w:pPr>
        <w:bidi/>
        <w:spacing w:after="0" w:line="360" w:lineRule="auto"/>
        <w:jc w:val="both"/>
      </w:pPr>
      <w:r>
        <w:rPr>
          <w:rFonts w:ascii="Times New Roman" w:cs="David" w:hAnsi="Times New Roman"/>
          <w:b w:val="false"/>
          <w:i w:val="false"/>
          <w:noProof/>
          <w:sz w:val="24"/>
          <w:szCs w:val="24"/>
          <w:rtl/>
          <w:lang w:val="en-US" w:bidi="he-IL"/>
        </w:rPr>
        <w:t xml:space="preserve">עיקרון הפירוק וההבניה חוזר גם בהתערבויות בתחומים אחרים. תוכנית התערבות שכללה הוראה שיטתית של היקשים מילוליים משמעותיים נמצאה מקדמת הבנה בקרב תלמידים עם אוטיזם בתפקוד גבוה (הר-צבי ואחרים, 2023). התערבות פרטנית אחרת ליוותה לאורך שנים-עשר מפגשים תלמיד כיתה ג' עם ASD שקרא ללא קושי אך התקשה בהבנת הנקרא: באמצעות אפליקציית למידה, שכללה קריאת טקסט באייפד והכנת עלון דיגיטלי, קודמה יכולת ההתמדה שלו במשימות של הבנת הנקרא (שרייבר וסגל, 2018).</w:t>
      </w:r>
    </w:p>
    <w:p>
      <w:pPr>
        <w:bidi/>
        <w:spacing w:after="0" w:line="360" w:lineRule="auto"/>
        <w:jc w:val="both"/>
      </w:pPr>
      <w:r>
        <w:rPr>
          <w:rFonts w:ascii="Times New Roman" w:cs="David" w:hAnsi="Times New Roman"/>
          <w:b w:val="false"/>
          <w:i w:val="false"/>
          <w:noProof/>
          <w:sz w:val="24"/>
          <w:szCs w:val="24"/>
          <w:rtl/>
          <w:lang w:val="en-US" w:bidi="he-IL"/>
        </w:rPr>
        <w:t xml:space="preserve">הצבת הממצאים אלה לצד אלה מלמדת על מתח פורה בין הכללי לפרטני. המטה-אנליזה של התוכניות האוניברסליות מבססת את התועלת של למידה חברתית-רגשית לכלל התלמידים (Cipriano et al., 2023), אולם הממצאים על רגישות ההתערבות להרכב הקבוצה ולסביבתה (Dean et al., 2020) ועל הצורך במטרות מפורשות ומותאמות אישית (Dale et al., 2022) מלמדים שבעבור תלמידים על הרצף אין די באימוץ תוכנית כללית כלשונה: נדרשת תוכנית שהותאמה מראש למאפייני העיבוד של האוכלוסייה, או לכל הפחות תיעוד שיטתי של ההתאמות הנעשות בה בשטח. מסקנה זו מחזקת את הבחירה בתוכנית ייעודית דוגמת "מעגלים" ואת הצורך לבחון את יישומה בפועל.</w:t>
      </w:r>
    </w:p>
    <w:p>
      <w:pPr>
        <w:bidi/>
        <w:spacing w:after="0" w:line="360" w:lineRule="auto"/>
        <w:jc w:val="both"/>
      </w:pPr>
      <w:r>
        <w:rPr>
          <w:rFonts w:ascii="Times New Roman" w:cs="David" w:hAnsi="Times New Roman"/>
          <w:b w:val="false"/>
          <w:i w:val="false"/>
          <w:noProof/>
          <w:sz w:val="24"/>
          <w:szCs w:val="24"/>
          <w:rtl/>
          <w:lang w:val="en-US" w:bidi="he-IL"/>
        </w:rPr>
        <w:t xml:space="preserve">חוט השני העובר בין ההתערבויות שנסקרו הוא מקומו של המורה כסוכן ההתערבות. תוכנית מובנית ככל שתהיה אינה מיישמת את עצמה: נדרשים ידע ומסוגלות של הצוות (בינג וחיימי, 2025), ותהליך ההטמעה עצמו עשוי לחזק את זהותו המקצועית של המורה, כפי שהעידו המורות שחוו חדשנות פדגוגית במסגרת לתלמידים אוטיסטים (זכאי משיח וטל, 2025). מכאן שהערכת יישום אינה ביקורת על המורה אלא כלי התפתחות מקצועית: היא הופכת את הידע המעשי, הנצבר בשגרה ואובד לרוב עם הזמן, לידע מתועד שאפשר ללמוד ממנו.</w:t>
      </w:r>
    </w:p>
    <w:p>
      <w:pPr>
        <w:bidi/>
        <w:spacing w:after="0" w:line="360" w:lineRule="auto"/>
        <w:jc w:val="both"/>
      </w:pPr>
      <w:r>
        <w:rPr>
          <w:rFonts w:ascii="Times New Roman" w:cs="David" w:hAnsi="Times New Roman"/>
          <w:b w:val="false"/>
          <w:i w:val="false"/>
          <w:noProof/>
          <w:sz w:val="24"/>
          <w:szCs w:val="24"/>
          <w:rtl/>
          <w:lang w:val="en-US" w:bidi="he-IL"/>
        </w:rPr>
        <w:t xml:space="preserve">המשותף להתערבויות אלה הוא הנגשה חזותית ומובנית של תוכן מובלע: מה שהתלמיד עם ההתפתחות התקינה קולט מאליו מן הסביבה, מוגש לתלמיד על הרצף כידע מפורש, מדורג וניתן לתרגול. הנגשה כזו מפחיתה עומס ואי-ודאות ומחזקת את תחושת המסוגלות. עיקרון זה עומד גם בבסיסה של תוכנית "מעגלים", העומדת במוקד המחקר הנוכחי.</w:t>
      </w:r>
    </w:p>
    <w:p>
      <w:pPr>
        <w:bidi/>
        <w:spacing w:after="120" w:before="240" w:line="360" w:lineRule="auto"/>
        <w:jc w:val="right"/>
      </w:pPr>
      <w:r>
        <w:rPr>
          <w:rFonts w:ascii="Times New Roman" w:cs="David" w:hAnsi="Times New Roman"/>
          <w:b/>
          <w:bCs/>
          <w:i w:val="false"/>
          <w:noProof/>
          <w:sz w:val="28"/>
          <w:szCs w:val="28"/>
          <w:rtl/>
          <w:lang w:val="en-US" w:bidi="he-IL"/>
        </w:rPr>
        <w:t xml:space="preserve">5. תוכנית "מעגלים" והערכת יישומה</w:t>
      </w:r>
    </w:p>
    <w:p>
      <w:pPr>
        <w:bidi/>
        <w:spacing w:after="0" w:line="360" w:lineRule="auto"/>
        <w:jc w:val="both"/>
      </w:pPr>
      <w:r>
        <w:rPr>
          <w:rFonts w:ascii="Times New Roman" w:cs="David" w:hAnsi="Times New Roman"/>
          <w:b w:val="false"/>
          <w:i w:val="false"/>
          <w:noProof/>
          <w:sz w:val="24"/>
          <w:szCs w:val="24"/>
          <w:rtl/>
          <w:lang w:val="en-US" w:bidi="he-IL"/>
        </w:rPr>
        <w:t xml:space="preserve">תוכנית "מעגלים" פותחה במקורה עבור אנשים עם מוגבלות קוגניטיבית התפתחותית, ובכך ייחודה. מטרתה העיקרית היא להכין את הלומדים לחיים עצמאיים, בטוחים ובעלי איכות ומשמעות בקהילה, באמצעות הקניית מיומנויות החיוניות לתפקוד עצמאי ולהשגת ביטחון והצלחה (משרד החינוך, ל.ת.). בישראל מופעלת התוכנית באמצעות היחידה למיניות ולמניעת פגיעה בילדים ובבני נוער שבמשרד החינוך, והיא משמשת כלי מרכזי בחינוך החברתי של אוכלוסיות החינוך המיוחד.</w:t>
      </w:r>
    </w:p>
    <w:p>
      <w:pPr>
        <w:bidi/>
        <w:spacing w:after="0" w:line="360" w:lineRule="auto"/>
        <w:jc w:val="both"/>
      </w:pPr>
      <w:r>
        <w:rPr>
          <w:rFonts w:ascii="Times New Roman" w:cs="David" w:hAnsi="Times New Roman"/>
          <w:b w:val="false"/>
          <w:i w:val="false"/>
          <w:noProof/>
          <w:sz w:val="24"/>
          <w:szCs w:val="24"/>
          <w:rtl/>
          <w:lang w:val="en-US" w:bidi="he-IL"/>
        </w:rPr>
        <w:t xml:space="preserve">התוכנית ממיינת את הסביבה החברתית לחמישה מעגלים צבעוניים על פי מידת הקרבה: במרכז נמצא המעגל הפרטי הסגול, שבו יש מקום לאדם אחד בלבד, התלמיד עצמו, והוא זה שמחליט מי יהיה קרוב אליו ומי יאכלס את שאר המעגלים, על בסיס עקרון ההדדיות; סביבו המעגל המשפחתי הכחול, ובו האנשים הקרובים שהתלמיד אוהב והם משיבים לו אהבה; אחריו המעגל החברי הירוק, שיכול להכיל אנשים רבים יותר ולהוות מקור רב ערך להערכה עצמית; המעגל הרביעי, הצהוב, הוא מעגל המכרים ואנשי המקצוע, המאופיין בלחיצת יד או בנפנוף לשלום; והמעגל החיצוני, האדום, המקיף את כולם, הוא מעגל הזרים (משרד החינוך, ל.ת.).</w:t>
      </w:r>
    </w:p>
    <w:p>
      <w:pPr>
        <w:bidi/>
        <w:spacing w:after="0" w:line="360" w:lineRule="auto"/>
        <w:jc w:val="both"/>
      </w:pPr>
      <w:r>
        <w:rPr>
          <w:rFonts w:ascii="Times New Roman" w:cs="David" w:hAnsi="Times New Roman"/>
          <w:b w:val="false"/>
          <w:i w:val="false"/>
          <w:noProof/>
          <w:sz w:val="24"/>
          <w:szCs w:val="24"/>
          <w:rtl/>
          <w:lang w:val="en-US" w:bidi="he-IL"/>
        </w:rPr>
        <w:t xml:space="preserve">בכל אחד מהמעגלים מגדירה התוכנית במפורש שלושה תחומי תקשורת: מגע, כלומר אילו מגעים מתאימים ומה משכם וזמנם; דיבור, כלומר על מה מתאים לדבר, באילו הזדמנויות ומה משך השיח; ומידת האמון שראוי לרכוש כלפי הדמויות שבכל מעגל. באמצעות מבנה זה מבקשת התוכנית ללמד ולשפר חמישה תחומים מרכזיים: מודעות והערכה עצמית, מרחב אישי, מרחק חברתי ודרגות קרבה, התנהגות מינית וחברתית מקובלת, ומיומנויות תקשורת אישית ובינאישית (משרד החינוך, ל.ת.).</w:t>
      </w:r>
    </w:p>
    <w:p>
      <w:pPr>
        <w:bidi/>
        <w:spacing w:after="0" w:line="360" w:lineRule="auto"/>
        <w:jc w:val="both"/>
      </w:pPr>
      <w:r>
        <w:rPr>
          <w:rFonts w:ascii="Times New Roman" w:cs="David" w:hAnsi="Times New Roman"/>
          <w:b w:val="false"/>
          <w:i w:val="false"/>
          <w:noProof/>
          <w:sz w:val="24"/>
          <w:szCs w:val="24"/>
          <w:rtl/>
          <w:lang w:val="en-US" w:bidi="he-IL"/>
        </w:rPr>
        <w:t xml:space="preserve">הקשר שבו צמחה התוכנית מוסיף לה נדבך חשוב של מוגנות. התוכנית מופעלת בישראל באמצעות היחידה למיניות ולמניעת פגיעה בילדים ובבני נוער, והיא חלק מתוכנית ההוראה בחינוך חברתי-מיני לאוכלוסיות החינוך המיוחד, הכוללת פעילויות וחומרי למידה מובנים (משרד החינוך, ל.ת.). ההוראה המפורשת של גבולות המגע, של המרחק המתאים ושל מידת האמון שראוי לתת בכל דמות אינה רק כלי חברתי: היא מקנה לתלמיד שפה שבאמצעותה יוכל לזהות פנייה שאינה הולמת ולסרב לה, ובכך היא משמשת שכבת הגנה עבור אוכלוסייה הפגיעה במיוחד לניצול ולפגיעה. ממד זה מעניק להערכת יישומה של התוכנית משנה חשיבות, שכן מדובר לא רק בקידום מיומנויות אלא גם בשמירה על ביטחונם של התלמידים.</w:t>
      </w:r>
    </w:p>
    <w:p>
      <w:pPr>
        <w:bidi/>
        <w:spacing w:after="0" w:line="360" w:lineRule="auto"/>
        <w:jc w:val="both"/>
      </w:pPr>
      <w:r>
        <w:rPr>
          <w:rFonts w:ascii="Times New Roman" w:cs="David" w:hAnsi="Times New Roman"/>
          <w:b w:val="false"/>
          <w:i w:val="false"/>
          <w:noProof/>
          <w:sz w:val="24"/>
          <w:szCs w:val="24"/>
          <w:rtl/>
          <w:lang w:val="en-US" w:bidi="he-IL"/>
        </w:rPr>
        <w:t xml:space="preserve">לצד תיאור התוכנית, יש להבחין בין הערכת תוצאותיה ובין הערכת יישומה. הערכת יישום שואלת כיצד התוכנית מופעלת הלכה למעשה: אילו התאמות נדרשות לגיל המשתתפים, לרמת תפקודם וליכולותיהם השפתיות; אילו מרכיבים בתוכנית פועלים כמתוכנן ואילו דורשים שינוי; וכיצד באים לידי ביטוי עקרונותיה התיאורטיים בעבודה היומיומית בכיתה. שאלות אלה מקבלות משנה תוקף כאשר התוכנית פותחה במקורה עבור אוכלוסייה אחרת, אנשים עם מוגבלות קוגניטיבית התפתחותית, והיא מופעלת כיום גם בקרב תלמידים על הרצף האוטיסטי בכיתות תקשורת (משרד החינוך, ל.ת.). התאמת התוכנית להקשר החדש אינה מובנת מאליה, והיא עצמה שאלה אמפירית הראויה לבדיקה שיטתית.</w:t>
      </w:r>
    </w:p>
    <w:p>
      <w:pPr>
        <w:bidi/>
        <w:spacing w:after="0" w:line="360" w:lineRule="auto"/>
        <w:jc w:val="both"/>
      </w:pPr>
      <w:r>
        <w:rPr>
          <w:rFonts w:ascii="Times New Roman" w:cs="David" w:hAnsi="Times New Roman"/>
          <w:b w:val="false"/>
          <w:i w:val="false"/>
          <w:noProof/>
          <w:sz w:val="24"/>
          <w:szCs w:val="24"/>
          <w:rtl/>
          <w:lang w:val="en-US" w:bidi="he-IL"/>
        </w:rPr>
        <w:t xml:space="preserve">ראוי להדגיש גם את עקרון ההעצמה העומד בלב התוכנית. התלמיד עצמו ניצב במרכז המעגל הפרטי, "האדם החשוב ביותר", והוא זה שמחליט, על בסיס עקרון ההדדיות, מי יהיה קרוב אליו ומי יאכלס את שאר המעגלים (משרד החינוך, ל.ת.). התוכנית מלווה בחוברת הוראה לחינוך חברתי-מיני לאוכלוסיות החינוך המיוחד, ובה פעילויות וחומרי למידה שניתן להרחיב בעזרתם את העבודה בכיתה (משרד החינוך, ל.ת.). הבחירה נתונה אפוא בידי התלמיד, והמורה מתווך את הכללים שבעזרתם יממש אותה, חלוקת תפקידים העולה בקנה אחד עם תפיסת ההכלה שנדונה לעיל.</w:t>
      </w:r>
    </w:p>
    <w:p>
      <w:pPr>
        <w:bidi/>
        <w:spacing w:after="0" w:line="360" w:lineRule="auto"/>
        <w:jc w:val="both"/>
      </w:pPr>
      <w:r>
        <w:rPr>
          <w:rFonts w:ascii="Times New Roman" w:cs="David" w:hAnsi="Times New Roman"/>
          <w:b w:val="false"/>
          <w:i w:val="false"/>
          <w:noProof/>
          <w:sz w:val="24"/>
          <w:szCs w:val="24"/>
          <w:rtl/>
          <w:lang w:val="en-US" w:bidi="he-IL"/>
        </w:rPr>
        <w:t xml:space="preserve">מבנה זה הופך את התוכנית למתאימה במיוחד לתלמידים על הרצף האוטיסטי. המעגלים ממירים את הכללים החברתיים המובלעים, שהם בדיוק נקודת הקושי שתוארה בתתי-הפרקים הקודמים, לייצוג חזותי מפורש ומדורג, ברוח עקרון הפירוק וההבניה שנמצא יעיל בהתערבויות אחרות; תחומי הלימוד של התוכנית, ובראשם המרחב האישי ודרגות הקרבה, עונים ישירות על הקשיים בהבנת סיטואציות חברתיות ובוויסות ההתנהגות שתוארו לעיל. עם זאת, עצם קיומה של תוכנית מתאימה אינו מבטיח יישום מיטבי: מחקר יישומי מתמקד בבחינת העשייה עצמה, כלומר בעקרונות התוכנית, בכלים שהיא מעמידה ובדרכי יישומה בשדה, ולא רק בתוצאותיה אצל המשתתפים, וועדת המומחים עמדה במפורש על הצורך בדרכי הערכה ומדידה מותאמות לתוכניות חברתיות-רגשיות (בנבנישתי ופרידמן, 2020).</w:t>
      </w:r>
    </w:p>
    <w:p>
      <w:pPr>
        <w:bidi/>
        <w:spacing w:after="0" w:line="360" w:lineRule="auto"/>
        <w:jc w:val="both"/>
      </w:pPr>
      <w:r>
        <w:rPr>
          <w:rFonts w:ascii="Times New Roman" w:cs="David" w:hAnsi="Times New Roman"/>
          <w:b w:val="false"/>
          <w:i w:val="false"/>
          <w:noProof/>
          <w:sz w:val="24"/>
          <w:szCs w:val="24"/>
          <w:rtl/>
          <w:lang w:val="en-US" w:bidi="he-IL"/>
        </w:rPr>
        <w:t xml:space="preserve">זיקה ברורה מתקיימת בין תחומי הלימוד של התוכנית ובין אשכולות המיומנויות שהגדירה ועדת המומחים ללמידה חברתית-רגשית. המודעות וההערכה העצמית שבמרכז המעגל הפרטי מקבילות לאשכול המודעות העצמית; השמירה על מרחב אישי נשענת על ניהול עצמי וויסות; ההבחנה בדרגות הקרבה מפעילה מודעות חברתית; מיומנויות התקשורת האישית והבינאישית נוגעות לניהול מערכות יחסים; וההכרעה בשאלת מידת האמון שראוי לתת בכל דמות היא בפועל תרגול של קבלת החלטות אחראית (בנבנישתי ופרידמן, 2020; משרד החינוך, ל.ת.). במובן זה, "מעגלים" אינה תוכנית נקודתית אלא מסגרת מקיפה ללמידה חברתית-רגשית, המנוסחת בשפה חזותית הנגישה לתלמידים על הרצף.</w:t>
      </w:r>
    </w:p>
    <w:p>
      <w:pPr>
        <w:bidi/>
        <w:spacing w:after="0" w:line="360" w:lineRule="auto"/>
        <w:jc w:val="both"/>
      </w:pPr>
      <w:r>
        <w:rPr>
          <w:rFonts w:ascii="Times New Roman" w:cs="David" w:hAnsi="Times New Roman"/>
          <w:b w:val="false"/>
          <w:i w:val="false"/>
          <w:noProof/>
          <w:sz w:val="24"/>
          <w:szCs w:val="24"/>
          <w:rtl/>
          <w:lang w:val="en-US" w:bidi="he-IL"/>
        </w:rPr>
        <w:t xml:space="preserve">שאלה מרכזית בכל התערבות חברתית היא שאלת ההכללה: האם הידע הנרכש בשיעור מיתרגם להתנהלות בפועל. המבחן האמיתי של "מעגלים" אינו ביכולתו של התלמיד לשבץ דמויות במעגלים על גבי הלוח, אלא בהתנהלותו בהפסקה, בחצר ובקהילה, אותם מרחבים בלתי פורמליים שנמצאו קשים במיוחד לתלמידים על הרצף (וירוב ואחרים, 2018). הספרות מספקת יסוד לאופטימיות זהירה: שילוב של כלים מובנים עם תרגול במרחב הכיתתי הטבעי נמצא מאפשר לתלמידים ליישם אסטרטגיות של ויסות חברתי גם בהקשרים חדשים (הר-צבי ואחרים, 2023), ושיפור שהושג בהתערבות חברתית-רגשית פרטנית נשמר לאורך זמן גם לאחר סיומה (מזרחי ויריב, 2022). עם זאת, הכללה אינה מתרחשת מאליה, והיא עצמה תוצר של תיווך מכוון.</w:t>
      </w:r>
    </w:p>
    <w:p>
      <w:pPr>
        <w:bidi/>
        <w:spacing w:after="0" w:line="360" w:lineRule="auto"/>
        <w:jc w:val="both"/>
      </w:pPr>
      <w:r>
        <w:rPr>
          <w:rFonts w:ascii="Times New Roman" w:cs="David" w:hAnsi="Times New Roman"/>
          <w:b w:val="false"/>
          <w:i w:val="false"/>
          <w:noProof/>
          <w:sz w:val="24"/>
          <w:szCs w:val="24"/>
          <w:rtl/>
          <w:lang w:val="en-US" w:bidi="he-IL"/>
        </w:rPr>
        <w:t xml:space="preserve">יישום התוכנית בכיתת תקשורת מציב שאלות מעשיות: כיצד מתווכים את המעגלים לתלמידים בגילים וברמות תפקוד שונים, אילו עזרים חזותיים ותרגולים משרתים את ההפנמה, וכיצד מגשרים בין הנלמד בשיעור ובין ההתנהלות בפועל בהפסקה ובחצר, המרחבים הבלתי פורמליים שבהם, כפי שהוצג לעיל, נבחנת ההכללה החברתית באמת. הידע המחקרי על התערבויות מובנות מלמד שהתשובות לשאלות אלה אינן מובנות מאליהן, ושהמורה המיישם נדרש להתאמות מתמידות. דווקא משום כך, תיעוד שיטתי של דרכי היישום ושל ההתאמות הנעשות בשטח הוא תנאי להערכה מושכלת של התוכנית ולשיפורה (בנבנישתי ופרידמן, 2020).</w:t>
      </w:r>
    </w:p>
    <w:p>
      <w:pPr>
        <w:bidi/>
        <w:spacing w:after="0" w:line="360" w:lineRule="auto"/>
        <w:jc w:val="both"/>
      </w:pPr>
      <w:r>
        <w:rPr>
          <w:rFonts w:ascii="Times New Roman" w:cs="David" w:hAnsi="Times New Roman"/>
          <w:b w:val="false"/>
          <w:i w:val="false"/>
          <w:noProof/>
          <w:sz w:val="24"/>
          <w:szCs w:val="24"/>
          <w:rtl/>
          <w:lang w:val="en-US" w:bidi="he-IL"/>
        </w:rPr>
        <w:t xml:space="preserve">מכלול הדברים מתווה את ממדי ההערכה של המחקר הנוכחי. הערכת יישום נאמנה תידרש לבחון את העקרונות התיאורטיים של התוכנית, ובראשם ההמחשה החזותית וההוראה המפורשת; את הכלים שהיא מעמידה ואת מידת התאמתם לטווח הגילים ולרמות התפקוד שבכיתה; את ההתאמות שעורך המורה בפועל ואת הרציונל שלהן; ואת האופן שבו הלמידה באה לידי ביטוי בתוצרי התלמידים ובהתנהלותם היומיומית. ממדים אלה עולים בקנה אחד עם קריאתה של ועדת המומחים לפתח דרכי הערכה ומדידה מותאמות לתחום החברתי-רגשי (בנבנישתי ופרידמן, 2020), והם שיעמדו בבסיס כלי המחקר.</w:t>
      </w:r>
    </w:p>
    <w:p>
      <w:pPr>
        <w:bidi/>
        <w:spacing w:after="0" w:line="360" w:lineRule="auto"/>
        <w:jc w:val="both"/>
      </w:pPr>
      <w:r>
        <w:rPr>
          <w:rFonts w:ascii="Times New Roman" w:cs="David" w:hAnsi="Times New Roman"/>
          <w:b w:val="false"/>
          <w:i w:val="false"/>
          <w:noProof/>
          <w:sz w:val="24"/>
          <w:szCs w:val="24"/>
          <w:rtl/>
          <w:lang w:val="en-US" w:bidi="he-IL"/>
        </w:rPr>
        <w:t xml:space="preserve">חקר מקרה עדכני מדגים עד כמה נקודת מבטו של הצוות מכרעת בהטמעת שינוי פדגוגי במסגרות לתלמידים אוטיסטים. בראיונות חצי-מובנים עם 21 אנשי צוות בבית ספר לחינוך מיוחד המיועד לתלמידים אוטיסטים נמצא שהחדשנות שהוטמעה תרמה לתפקודי התלמידים, לגיבוש הזהות המקצועית של המורות ולחוויה צוותית מגבשת, אך עוררה גם חששות ואתגרים בתהליך ההטמעה, והצוות עצמו העלה הצעות לייעולו (זכאי משיח וטל, 2025). ממצאים אלה מחזקים את הבחירה המתודולוגית של המחקר הנוכחי להתבונן ביישום התוכנית מבפנים, מנקודת מבטו של המורה המיישם.</w:t>
      </w:r>
    </w:p>
    <w:p>
      <w:pPr>
        <w:bidi/>
        <w:spacing w:after="0" w:line="360" w:lineRule="auto"/>
        <w:jc w:val="both"/>
      </w:pPr>
      <w:r>
        <w:rPr>
          <w:rFonts w:ascii="Times New Roman" w:cs="David" w:hAnsi="Times New Roman"/>
          <w:b w:val="false"/>
          <w:i w:val="false"/>
          <w:noProof/>
          <w:sz w:val="24"/>
          <w:szCs w:val="24"/>
          <w:rtl/>
          <w:lang w:val="en-US" w:bidi="he-IL"/>
        </w:rPr>
        <w:t xml:space="preserve">שלוש התמות שעלו בממצאי זכאי משיח וטל (2025) ממחישות את מורכבות ההטמעה. התרומה נגעה לשלושה מעגלים: תפקודי התלמידים, גיבוש זהותן המקצועית של המורות וחוויה צוותית מגבשת; החששות נגעו לקשיים שהשינוי עלול לעורר אצל התלמידים, הזקוקים ליציבות ולשגרה, ולאופן שבו הצוות מתמודד עם ההטמעה; וההצעות לייעול הדגישו את שיתוף הצוות בתהליך. הלקחים ישימים במישרין להטמעת "מעגלים" בכיתת תקשורת: הכנסת תוכנית חדשה מחייבת הדרגתיות, שיתוף הצוות כולו ותשומת לב מתמדת לתגובת התלמידים לשינוי עצמו.</w:t>
      </w:r>
    </w:p>
    <w:p>
      <w:pPr>
        <w:bidi/>
        <w:spacing w:after="0" w:line="360" w:lineRule="auto"/>
        <w:jc w:val="both"/>
      </w:pPr>
      <w:r>
        <w:rPr>
          <w:rFonts w:ascii="Times New Roman" w:cs="David" w:hAnsi="Times New Roman"/>
          <w:b w:val="false"/>
          <w:i w:val="false"/>
          <w:noProof/>
          <w:sz w:val="24"/>
          <w:szCs w:val="24"/>
          <w:rtl/>
          <w:lang w:val="en-US" w:bidi="he-IL"/>
        </w:rPr>
        <w:t xml:space="preserve">מיפוי הספרות חושף גם את גבולות הידע הקיים. הידע על למידה חברתית-רגשית בכלל ועל התערבויות לתלמידים על הרצף בפרט הולך ומתבסס, אולם יישומה של תוכנית "מעגלים" בכיתות תקשורת טרם תואר ותועד בספרות המחקרית באופן שיטתי, והידע הזמין על התוכנית מצוי בעיקרו במסמכי הדרכה (משרד החינוך, ל.ת.). הערכת יישום איכותנית, הנעשית מתוך הכיתה עצמה ובעיני המורה המיישם, היא אפוא הצעד המתבקש להשלמת התמונה.</w:t>
      </w:r>
    </w:p>
    <w:p>
      <w:pPr>
        <w:bidi/>
        <w:spacing w:after="0" w:line="360" w:lineRule="auto"/>
        <w:jc w:val="both"/>
      </w:pPr>
      <w:r>
        <w:rPr>
          <w:rFonts w:ascii="Times New Roman" w:cs="David" w:hAnsi="Times New Roman"/>
          <w:b w:val="false"/>
          <w:i w:val="false"/>
          <w:noProof/>
          <w:sz w:val="24"/>
          <w:szCs w:val="24"/>
          <w:rtl/>
          <w:lang w:val="en-US" w:bidi="he-IL"/>
        </w:rPr>
        <w:t xml:space="preserve">סקירת הספרות מציירת אפוא מהלך ברור. השילוב וההכלה הם מדיניות מוצהרת, אולם יישומה נתקל בפער חברתי-רגשי עיקש, הבולט במיוחד אצל תלמידים על הרצף האוטיסטי, ואינו נסגר מאליו גם כשהעמדות בסביבה חיוביות. התערבויות מובנות, המפרקות מיומנויות חברתיות מופשטות לשלבים מפורשים ומוחשיים, נמצאו דרך מבטיחה לצמצום הפער, ותוכנית "מעגלים" היא ביטוי מובהק לגישה זו. הצורך במחקר הנוכחי נובע מהחשיבות של יצירת מדדים ברורים להערכת תוכניות חברתיות-רגשיות בשדה, ומהצורך לוודא שתוכנית "מעגלים" אכן מותאמת לצרכים הייחודיים של תלמידים על הרצף הלומדים בכיתת תקשורת. מטרת המחקר היא לבחון את מרכיביה של התוכנית וללמוד כיצד ניתן להעריך את יישומה, ושאלת המחקר הנגזרת ממנה היא: כיצד ניתן להעריך את יישומה של תוכנית הלמידה החברתית-רגשית "מעגלים" לפיתוח מיומנויות חברתיות-רגשיות של תלמידים על הרצף האוטיסטי בכיתת תקשורת? על שאלה זו יבקש המחקר לענות באמצעות כלים איכותניים, ובהם יומן רפלקטיבי של עורך המחקר, ראיונות עומק חצי-מובנים עם התלמידים ותוצרי למידה, כמפורט בפרק השיטה.</w:t>
      </w:r>
    </w:p>
    <w:p>
      <w:r>
        <w:rPr>
          <w:noProof/>
          <w:lang w:val="en-US" w:bidi="he-IL"/>
        </w:rPr>
        <w:br w:type="page"/>
      </w:r>
    </w:p>
    <w:p>
      <w:pPr>
        <w:bidi/>
        <w:spacing w:after="240" w:before="0" w:line="360" w:lineRule="auto"/>
        <w:jc w:val="center"/>
      </w:pPr>
      <w:r>
        <w:rPr>
          <w:rFonts w:ascii="Times New Roman" w:cs="David" w:hAnsi="Times New Roman"/>
          <w:b/>
          <w:bCs/>
          <w:i w:val="false"/>
          <w:noProof/>
          <w:sz w:val="32"/>
          <w:szCs w:val="32"/>
          <w:rtl/>
          <w:lang w:val="en-US" w:bidi="he-IL"/>
        </w:rPr>
        <w:t xml:space="preserve">רשימת מקורות</w:t>
      </w:r>
    </w:p>
    <w:p>
      <w:pPr>
        <w:bidi/>
        <w:spacing w:after="120" w:line="360" w:lineRule="auto"/>
        <w:ind w:left="709" w:hanging="709"/>
      </w:pPr>
      <w:r>
        <w:rPr>
          <w:rFonts w:ascii="Times New Roman" w:cs="David" w:hAnsi="Times New Roman"/>
          <w:b w:val="false"/>
          <w:i w:val="false"/>
          <w:noProof/>
          <w:sz w:val="24"/>
          <w:szCs w:val="24"/>
          <w:rtl/>
          <w:lang w:val="en-US" w:bidi="he-IL"/>
        </w:rPr>
        <w:t xml:space="preserve">אבו-גוידר, ע., אלכרים אבו סרייה, ע. ואלקשאעלה, ב. (2025). עמדותיהם של מורים בדואים בחינוך הרגיל כלפי שילוב תלמידים עם מוגבלות בכיתה רגילה. </w:t>
      </w:r>
      <w:r>
        <w:rPr>
          <w:rFonts w:ascii="Times New Roman" w:cs="David" w:hAnsi="Times New Roman"/>
          <w:b w:val="false"/>
          <w:i/>
          <w:iCs/>
          <w:noProof/>
          <w:sz w:val="24"/>
          <w:szCs w:val="24"/>
          <w:rtl/>
          <w:lang w:val="en-US" w:bidi="he-IL"/>
        </w:rPr>
        <w:t xml:space="preserve">חוקרים@החינוך המיוחד</w:t>
      </w:r>
      <w:r>
        <w:rPr>
          <w:rFonts w:ascii="Times New Roman" w:cs="David" w:hAnsi="Times New Roman"/>
          <w:b w:val="false"/>
          <w:i w:val="false"/>
          <w:noProof/>
          <w:sz w:val="24"/>
          <w:szCs w:val="24"/>
          <w:rtl/>
          <w:lang w:val="en-US" w:bidi="he-IL"/>
        </w:rPr>
        <w:t xml:space="preserve">, </w:t>
      </w:r>
      <w:r>
        <w:rPr>
          <w:rFonts w:ascii="Times New Roman" w:cs="David" w:hAnsi="Times New Roman"/>
          <w:b w:val="false"/>
          <w:i/>
          <w:iCs/>
          <w:noProof/>
          <w:sz w:val="24"/>
          <w:szCs w:val="24"/>
          <w:rtl/>
          <w:lang w:val="en-US" w:bidi="he-IL"/>
        </w:rPr>
        <w:t xml:space="preserve">6</w:t>
      </w:r>
      <w:r>
        <w:rPr>
          <w:rFonts w:ascii="Times New Roman" w:cs="David" w:hAnsi="Times New Roman"/>
          <w:b w:val="false"/>
          <w:i w:val="false"/>
          <w:noProof/>
          <w:sz w:val="24"/>
          <w:szCs w:val="24"/>
          <w:rtl/>
          <w:lang w:val="en-US" w:bidi="he-IL"/>
        </w:rPr>
        <w:t xml:space="preserve">, 80-106.</w:t>
      </w:r>
    </w:p>
    <w:p>
      <w:pPr>
        <w:bidi/>
        <w:spacing w:after="120" w:line="360" w:lineRule="auto"/>
        <w:ind w:left="709" w:hanging="709"/>
      </w:pPr>
      <w:r>
        <w:rPr>
          <w:rFonts w:ascii="Times New Roman" w:cs="David" w:hAnsi="Times New Roman"/>
          <w:b w:val="false"/>
          <w:i w:val="false"/>
          <w:noProof/>
          <w:sz w:val="24"/>
          <w:szCs w:val="24"/>
          <w:rtl/>
          <w:lang w:val="en-US" w:bidi="he-IL"/>
        </w:rPr>
        <w:t xml:space="preserve">אלון מן, ט. וברק, ד. (2025). כיצד אוטיסטים והורים לאוטיסטים חווים את מערכת החינוך. </w:t>
      </w:r>
      <w:r>
        <w:rPr>
          <w:rFonts w:ascii="Times New Roman" w:cs="David" w:hAnsi="Times New Roman"/>
          <w:b w:val="false"/>
          <w:i/>
          <w:iCs/>
          <w:noProof/>
          <w:sz w:val="24"/>
          <w:szCs w:val="24"/>
          <w:rtl/>
          <w:lang w:val="en-US" w:bidi="he-IL"/>
        </w:rPr>
        <w:t xml:space="preserve">במעגלי חינוך: מחקר, עיון ויצירה</w:t>
      </w:r>
      <w:r>
        <w:rPr>
          <w:rFonts w:ascii="Times New Roman" w:cs="David" w:hAnsi="Times New Roman"/>
          <w:b w:val="false"/>
          <w:i w:val="false"/>
          <w:noProof/>
          <w:sz w:val="24"/>
          <w:szCs w:val="24"/>
          <w:rtl/>
          <w:lang w:val="en-US" w:bidi="he-IL"/>
        </w:rPr>
        <w:t xml:space="preserve">, </w:t>
      </w:r>
      <w:r>
        <w:rPr>
          <w:rFonts w:ascii="Times New Roman" w:cs="David" w:hAnsi="Times New Roman"/>
          <w:b w:val="false"/>
          <w:i/>
          <w:iCs/>
          <w:noProof/>
          <w:sz w:val="24"/>
          <w:szCs w:val="24"/>
          <w:rtl/>
          <w:lang w:val="en-US" w:bidi="he-IL"/>
        </w:rPr>
        <w:t xml:space="preserve">14</w:t>
      </w:r>
      <w:r>
        <w:rPr>
          <w:rFonts w:ascii="Times New Roman" w:cs="David" w:hAnsi="Times New Roman"/>
          <w:b w:val="false"/>
          <w:i w:val="false"/>
          <w:noProof/>
          <w:sz w:val="24"/>
          <w:szCs w:val="24"/>
          <w:rtl/>
          <w:lang w:val="en-US" w:bidi="he-IL"/>
        </w:rPr>
        <w:t xml:space="preserve">. </w:t>
      </w:r>
      <w:r>
        <w:rPr>
          <w:rFonts w:ascii="Times New Roman" w:cs="David" w:hAnsi="Times New Roman"/>
          <w:i w:val="false"/>
          <w:noProof/>
          <w:sz w:val="24"/>
          <w:szCs w:val="24"/>
          <w:lang w:val="en-US" w:bidi="he-IL"/>
        </w:rPr>
        <w:t xml:space="preserve"/>
      </w:r>
    </w:p>
    <w:p>
      <w:pPr>
        <w:bidi/>
        <w:spacing w:after="120" w:line="360" w:lineRule="auto"/>
        <w:ind w:left="709" w:hanging="709"/>
      </w:pPr>
      <w:r>
        <w:rPr>
          <w:rFonts w:ascii="Times New Roman" w:cs="David" w:hAnsi="Times New Roman"/>
          <w:b w:val="false"/>
          <w:i w:val="false"/>
          <w:noProof/>
          <w:sz w:val="24"/>
          <w:szCs w:val="24"/>
          <w:rtl/>
          <w:lang w:val="en-US" w:bidi="he-IL"/>
        </w:rPr>
        <w:t xml:space="preserve">בינג, ע. וחיימי, א. (2025). המעטפת - הכלת תלמידים עם קשיי תפקוד והתנהגות במסגרת חינוכית. </w:t>
      </w:r>
      <w:r>
        <w:rPr>
          <w:rFonts w:ascii="Times New Roman" w:cs="David" w:hAnsi="Times New Roman"/>
          <w:b w:val="false"/>
          <w:i/>
          <w:iCs/>
          <w:noProof/>
          <w:sz w:val="24"/>
          <w:szCs w:val="24"/>
          <w:rtl/>
          <w:lang w:val="en-US" w:bidi="he-IL"/>
        </w:rPr>
        <w:t xml:space="preserve">חוקרים@החינוך המיוחד</w:t>
      </w:r>
      <w:r>
        <w:rPr>
          <w:rFonts w:ascii="Times New Roman" w:cs="David" w:hAnsi="Times New Roman"/>
          <w:b w:val="false"/>
          <w:i w:val="false"/>
          <w:noProof/>
          <w:sz w:val="24"/>
          <w:szCs w:val="24"/>
          <w:rtl/>
          <w:lang w:val="en-US" w:bidi="he-IL"/>
        </w:rPr>
        <w:t xml:space="preserve">, </w:t>
      </w:r>
      <w:r>
        <w:rPr>
          <w:rFonts w:ascii="Times New Roman" w:cs="David" w:hAnsi="Times New Roman"/>
          <w:b w:val="false"/>
          <w:i/>
          <w:iCs/>
          <w:noProof/>
          <w:sz w:val="24"/>
          <w:szCs w:val="24"/>
          <w:rtl/>
          <w:lang w:val="en-US" w:bidi="he-IL"/>
        </w:rPr>
        <w:t xml:space="preserve">6</w:t>
      </w:r>
      <w:r>
        <w:rPr>
          <w:rFonts w:ascii="Times New Roman" w:cs="David" w:hAnsi="Times New Roman"/>
          <w:b w:val="false"/>
          <w:i w:val="false"/>
          <w:noProof/>
          <w:sz w:val="24"/>
          <w:szCs w:val="24"/>
          <w:rtl/>
          <w:lang w:val="en-US" w:bidi="he-IL"/>
        </w:rPr>
        <w:t xml:space="preserve">, 28-52.</w:t>
      </w:r>
    </w:p>
    <w:p>
      <w:pPr>
        <w:bidi/>
        <w:spacing w:after="120" w:line="360" w:lineRule="auto"/>
        <w:ind w:left="709" w:hanging="709"/>
      </w:pPr>
      <w:r>
        <w:rPr>
          <w:rFonts w:ascii="Times New Roman" w:cs="David" w:hAnsi="Times New Roman"/>
          <w:b w:val="false"/>
          <w:i w:val="false"/>
          <w:noProof/>
          <w:sz w:val="24"/>
          <w:szCs w:val="24"/>
          <w:rtl/>
          <w:lang w:val="en-US" w:bidi="he-IL"/>
        </w:rPr>
        <w:t xml:space="preserve">בנבנישתי, ר. ופרידמן, ט. (עורכים). (2020). </w:t>
      </w:r>
      <w:r>
        <w:rPr>
          <w:rFonts w:ascii="Times New Roman" w:cs="David" w:hAnsi="Times New Roman"/>
          <w:b w:val="false"/>
          <w:i/>
          <w:iCs/>
          <w:noProof/>
          <w:sz w:val="24"/>
          <w:szCs w:val="24"/>
          <w:rtl/>
          <w:lang w:val="en-US" w:bidi="he-IL"/>
        </w:rPr>
        <w:t xml:space="preserve">טיפוח למידה רגשית-חברתית במערכת החינוך: סיכום עבודתה של ועדת המומחים, תמונת מצב והמלצות</w:t>
      </w:r>
      <w:r>
        <w:rPr>
          <w:rFonts w:ascii="Times New Roman" w:cs="David" w:hAnsi="Times New Roman"/>
          <w:b w:val="false"/>
          <w:i w:val="false"/>
          <w:noProof/>
          <w:sz w:val="24"/>
          <w:szCs w:val="24"/>
          <w:rtl/>
          <w:lang w:val="en-US" w:bidi="he-IL"/>
        </w:rPr>
        <w:t xml:space="preserve">. יוזמה - מרכז לידע ולמחקר בחינוך, האקדמיה הלאומית הישראלית למדעים. </w:t>
      </w:r>
      <w:r>
        <w:rPr>
          <w:rFonts w:ascii="Times New Roman" w:cs="David" w:hAnsi="Times New Roman"/>
          <w:i w:val="false"/>
          <w:noProof/>
          <w:sz w:val="24"/>
          <w:szCs w:val="24"/>
          <w:lang w:val="en-US" w:bidi="he-IL"/>
        </w:rPr>
        <w:t xml:space="preserve"/>
      </w:r>
    </w:p>
    <w:p>
      <w:pPr>
        <w:bidi/>
        <w:spacing w:after="120" w:line="360" w:lineRule="auto"/>
        <w:ind w:left="709" w:hanging="709"/>
      </w:pPr>
      <w:r>
        <w:rPr>
          <w:rFonts w:ascii="Times New Roman" w:cs="David" w:hAnsi="Times New Roman"/>
          <w:b w:val="false"/>
          <w:i w:val="false"/>
          <w:noProof/>
          <w:sz w:val="24"/>
          <w:szCs w:val="24"/>
          <w:rtl/>
          <w:lang w:val="en-US" w:bidi="he-IL"/>
        </w:rPr>
        <w:t xml:space="preserve">גילת, ע. ובורנשטיין, ג. (2018). שנינו אחד - שנינו הם אחד ועוד אחד: אימהות לילדים עם צרכים מיוחדים מתגייסות לשילובם בכיתה הרגילה. </w:t>
      </w:r>
      <w:r>
        <w:rPr>
          <w:rFonts w:ascii="Times New Roman" w:cs="David" w:hAnsi="Times New Roman"/>
          <w:b w:val="false"/>
          <w:i/>
          <w:iCs/>
          <w:noProof/>
          <w:sz w:val="24"/>
          <w:szCs w:val="24"/>
          <w:rtl/>
          <w:lang w:val="en-US" w:bidi="he-IL"/>
        </w:rPr>
        <w:t xml:space="preserve">סחי"ש: סוגיות בחינוך מיוחד ובשילוב</w:t>
      </w:r>
      <w:r>
        <w:rPr>
          <w:rFonts w:ascii="Times New Roman" w:cs="David" w:hAnsi="Times New Roman"/>
          <w:b w:val="false"/>
          <w:i w:val="false"/>
          <w:noProof/>
          <w:sz w:val="24"/>
          <w:szCs w:val="24"/>
          <w:rtl/>
          <w:lang w:val="en-US" w:bidi="he-IL"/>
        </w:rPr>
        <w:t xml:space="preserve">, </w:t>
      </w:r>
      <w:r>
        <w:rPr>
          <w:rFonts w:ascii="Times New Roman" w:cs="David" w:hAnsi="Times New Roman"/>
          <w:b w:val="false"/>
          <w:i/>
          <w:iCs/>
          <w:noProof/>
          <w:sz w:val="24"/>
          <w:szCs w:val="24"/>
          <w:rtl/>
          <w:lang w:val="en-US" w:bidi="he-IL"/>
        </w:rPr>
        <w:t xml:space="preserve">29</w:t>
      </w:r>
      <w:r>
        <w:rPr>
          <w:rFonts w:ascii="Times New Roman" w:cs="David" w:hAnsi="Times New Roman"/>
          <w:b w:val="false"/>
          <w:i w:val="false"/>
          <w:noProof/>
          <w:sz w:val="24"/>
          <w:szCs w:val="24"/>
          <w:rtl/>
          <w:lang w:val="en-US" w:bidi="he-IL"/>
        </w:rPr>
        <w:t xml:space="preserve">, 5-28.</w:t>
      </w:r>
    </w:p>
    <w:p>
      <w:pPr>
        <w:bidi/>
        <w:spacing w:after="120" w:line="360" w:lineRule="auto"/>
        <w:ind w:left="709" w:hanging="709"/>
      </w:pPr>
      <w:r>
        <w:rPr>
          <w:rFonts w:ascii="Times New Roman" w:cs="David" w:hAnsi="Times New Roman"/>
          <w:b w:val="false"/>
          <w:i w:val="false"/>
          <w:noProof/>
          <w:sz w:val="24"/>
          <w:szCs w:val="24"/>
          <w:rtl/>
          <w:lang w:val="en-US" w:bidi="he-IL"/>
        </w:rPr>
        <w:t xml:space="preserve">גרומן, ת. וצוריאל, ד. (2022). הערכה דינמית של הבנה פתגמית אצל ילדים המאובחנים עם אוטיזם בתפקוד גבוה. </w:t>
      </w:r>
      <w:r>
        <w:rPr>
          <w:rFonts w:ascii="Times New Roman" w:cs="David" w:hAnsi="Times New Roman"/>
          <w:b w:val="false"/>
          <w:i/>
          <w:iCs/>
          <w:noProof/>
          <w:sz w:val="24"/>
          <w:szCs w:val="24"/>
          <w:rtl/>
          <w:lang w:val="en-US" w:bidi="he-IL"/>
        </w:rPr>
        <w:t xml:space="preserve">חוקרים@החינוך המיוחד</w:t>
      </w:r>
      <w:r>
        <w:rPr>
          <w:rFonts w:ascii="Times New Roman" w:cs="David" w:hAnsi="Times New Roman"/>
          <w:b w:val="false"/>
          <w:i w:val="false"/>
          <w:noProof/>
          <w:sz w:val="24"/>
          <w:szCs w:val="24"/>
          <w:rtl/>
          <w:lang w:val="en-US" w:bidi="he-IL"/>
        </w:rPr>
        <w:t xml:space="preserve">, </w:t>
      </w:r>
      <w:r>
        <w:rPr>
          <w:rFonts w:ascii="Times New Roman" w:cs="David" w:hAnsi="Times New Roman"/>
          <w:b w:val="false"/>
          <w:i/>
          <w:iCs/>
          <w:noProof/>
          <w:sz w:val="24"/>
          <w:szCs w:val="24"/>
          <w:rtl/>
          <w:lang w:val="en-US" w:bidi="he-IL"/>
        </w:rPr>
        <w:t xml:space="preserve">2</w:t>
      </w:r>
      <w:r>
        <w:rPr>
          <w:rFonts w:ascii="Times New Roman" w:cs="David" w:hAnsi="Times New Roman"/>
          <w:b w:val="false"/>
          <w:i w:val="false"/>
          <w:noProof/>
          <w:sz w:val="24"/>
          <w:szCs w:val="24"/>
          <w:rtl/>
          <w:lang w:val="en-US" w:bidi="he-IL"/>
        </w:rPr>
        <w:t xml:space="preserve">, 145-179. </w:t>
      </w:r>
      <w:r>
        <w:rPr>
          <w:rFonts w:ascii="Times New Roman" w:cs="David" w:hAnsi="Times New Roman"/>
          <w:i w:val="false"/>
          <w:noProof/>
          <w:sz w:val="24"/>
          <w:szCs w:val="24"/>
          <w:lang w:val="en-US" w:bidi="he-IL"/>
        </w:rPr>
        <w:t xml:space="preserve"/>
      </w:r>
    </w:p>
    <w:p>
      <w:pPr>
        <w:bidi/>
        <w:spacing w:after="120" w:line="360" w:lineRule="auto"/>
        <w:ind w:left="709" w:hanging="709"/>
      </w:pPr>
      <w:r>
        <w:rPr>
          <w:rFonts w:ascii="Times New Roman" w:cs="David" w:hAnsi="Times New Roman"/>
          <w:b w:val="false"/>
          <w:i w:val="false"/>
          <w:noProof/>
          <w:sz w:val="24"/>
          <w:szCs w:val="24"/>
          <w:rtl/>
          <w:lang w:val="en-US" w:bidi="he-IL"/>
        </w:rPr>
        <w:t xml:space="preserve">הוצלר, י. (2019). הכלה, עיצוב אוניברסלי והתאמה בחינוך הגופני. </w:t>
      </w:r>
      <w:r>
        <w:rPr>
          <w:rFonts w:ascii="Times New Roman" w:cs="David" w:hAnsi="Times New Roman"/>
          <w:b w:val="false"/>
          <w:i/>
          <w:iCs/>
          <w:noProof/>
          <w:sz w:val="24"/>
          <w:szCs w:val="24"/>
          <w:rtl/>
          <w:lang w:val="en-US" w:bidi="he-IL"/>
        </w:rPr>
        <w:t xml:space="preserve">בתנועה: כתב עת למדעי החינוך הגופני והספורט</w:t>
      </w:r>
      <w:r>
        <w:rPr>
          <w:rFonts w:ascii="Times New Roman" w:cs="David" w:hAnsi="Times New Roman"/>
          <w:b w:val="false"/>
          <w:i w:val="false"/>
          <w:noProof/>
          <w:sz w:val="24"/>
          <w:szCs w:val="24"/>
          <w:rtl/>
          <w:lang w:val="en-US" w:bidi="he-IL"/>
        </w:rPr>
        <w:t xml:space="preserve">, </w:t>
      </w:r>
      <w:r>
        <w:rPr>
          <w:rFonts w:ascii="Times New Roman" w:cs="David" w:hAnsi="Times New Roman"/>
          <w:b w:val="false"/>
          <w:i/>
          <w:iCs/>
          <w:noProof/>
          <w:sz w:val="24"/>
          <w:szCs w:val="24"/>
          <w:rtl/>
          <w:lang w:val="en-US" w:bidi="he-IL"/>
        </w:rPr>
        <w:t xml:space="preserve">יב</w:t>
      </w:r>
      <w:r>
        <w:rPr>
          <w:rFonts w:ascii="Times New Roman" w:cs="David" w:hAnsi="Times New Roman"/>
          <w:b w:val="false"/>
          <w:i w:val="false"/>
          <w:noProof/>
          <w:sz w:val="24"/>
          <w:szCs w:val="24"/>
          <w:rtl/>
          <w:lang w:val="en-US" w:bidi="he-IL"/>
        </w:rPr>
        <w:t xml:space="preserve">(1), 70-94.</w:t>
      </w:r>
    </w:p>
    <w:p>
      <w:pPr>
        <w:bidi/>
        <w:spacing w:after="120" w:line="360" w:lineRule="auto"/>
        <w:ind w:left="709" w:hanging="709"/>
      </w:pPr>
      <w:r>
        <w:rPr>
          <w:rFonts w:ascii="Times New Roman" w:cs="David" w:hAnsi="Times New Roman"/>
          <w:b w:val="false"/>
          <w:i w:val="false"/>
          <w:noProof/>
          <w:sz w:val="24"/>
          <w:szCs w:val="24"/>
          <w:rtl/>
          <w:lang w:val="en-US" w:bidi="he-IL"/>
        </w:rPr>
        <w:t xml:space="preserve">הס, א. (2025). שאלון עמדות כלפי פוטנציאל יכולותיהם של תלמידים עם צרכים ייחודיים: פיתוחו וממצאים עיקריים בשימושו בחינוך הכללי. </w:t>
      </w:r>
      <w:r>
        <w:rPr>
          <w:rFonts w:ascii="Times New Roman" w:cs="David" w:hAnsi="Times New Roman"/>
          <w:b w:val="false"/>
          <w:i/>
          <w:iCs/>
          <w:noProof/>
          <w:sz w:val="24"/>
          <w:szCs w:val="24"/>
          <w:rtl/>
          <w:lang w:val="en-US" w:bidi="he-IL"/>
        </w:rPr>
        <w:t xml:space="preserve">חוקרים@החינוך המיוחד</w:t>
      </w:r>
      <w:r>
        <w:rPr>
          <w:rFonts w:ascii="Times New Roman" w:cs="David" w:hAnsi="Times New Roman"/>
          <w:b w:val="false"/>
          <w:i w:val="false"/>
          <w:noProof/>
          <w:sz w:val="24"/>
          <w:szCs w:val="24"/>
          <w:rtl/>
          <w:lang w:val="en-US" w:bidi="he-IL"/>
        </w:rPr>
        <w:t xml:space="preserve">, </w:t>
      </w:r>
      <w:r>
        <w:rPr>
          <w:rFonts w:ascii="Times New Roman" w:cs="David" w:hAnsi="Times New Roman"/>
          <w:b w:val="false"/>
          <w:i/>
          <w:iCs/>
          <w:noProof/>
          <w:sz w:val="24"/>
          <w:szCs w:val="24"/>
          <w:rtl/>
          <w:lang w:val="en-US" w:bidi="he-IL"/>
        </w:rPr>
        <w:t xml:space="preserve">6</w:t>
      </w:r>
      <w:r>
        <w:rPr>
          <w:rFonts w:ascii="Times New Roman" w:cs="David" w:hAnsi="Times New Roman"/>
          <w:b w:val="false"/>
          <w:i w:val="false"/>
          <w:noProof/>
          <w:sz w:val="24"/>
          <w:szCs w:val="24"/>
          <w:rtl/>
          <w:lang w:val="en-US" w:bidi="he-IL"/>
        </w:rPr>
        <w:t xml:space="preserve">, 148-168.</w:t>
      </w:r>
    </w:p>
    <w:p>
      <w:pPr>
        <w:bidi/>
        <w:spacing w:after="120" w:line="360" w:lineRule="auto"/>
        <w:ind w:left="709" w:hanging="709"/>
      </w:pPr>
      <w:r>
        <w:rPr>
          <w:rFonts w:ascii="Times New Roman" w:cs="David" w:hAnsi="Times New Roman"/>
          <w:b w:val="false"/>
          <w:i w:val="false"/>
          <w:noProof/>
          <w:sz w:val="24"/>
          <w:szCs w:val="24"/>
          <w:rtl/>
          <w:lang w:val="en-US" w:bidi="he-IL"/>
        </w:rPr>
        <w:t xml:space="preserve">הר-צבי (הכהן), ש., ממן-בכר, ר. וסאניצקי מולר, ק. (2023). תוכנית התערבות הכוללת היקשים מילוליים משמעותיים (סמנטיים) בקרב תלמידים עם אוטיזם בתפקוד גבוה (ASD). מכללת תלפיות. </w:t>
      </w:r>
      <w:r>
        <w:rPr>
          <w:rFonts w:ascii="Times New Roman" w:cs="David" w:hAnsi="Times New Roman"/>
          <w:i w:val="false"/>
          <w:noProof/>
          <w:sz w:val="24"/>
          <w:szCs w:val="24"/>
          <w:lang w:val="en-US" w:bidi="he-IL"/>
        </w:rPr>
        <w:t xml:space="preserve"/>
      </w:r>
    </w:p>
    <w:p>
      <w:pPr>
        <w:bidi/>
        <w:spacing w:after="120" w:line="360" w:lineRule="auto"/>
        <w:ind w:left="709" w:hanging="709"/>
      </w:pPr>
      <w:r>
        <w:rPr>
          <w:rFonts w:ascii="Times New Roman" w:cs="David" w:hAnsi="Times New Roman"/>
          <w:b w:val="false"/>
          <w:i w:val="false"/>
          <w:noProof/>
          <w:sz w:val="24"/>
          <w:szCs w:val="24"/>
          <w:rtl/>
          <w:lang w:val="en-US" w:bidi="he-IL"/>
        </w:rPr>
        <w:t xml:space="preserve">וירוב, י., קליין, נ. וקוהאן-מס, ג. (2018). האם השילוב באמת משלב? ההבדל בין עמדות תלמידים משלבים ביחס לשילוב, לבין יוזמות חברתיות שלהם כלפי תלמידים משולבים עם אוטיזם. </w:t>
      </w:r>
      <w:r>
        <w:rPr>
          <w:rFonts w:ascii="Times New Roman" w:cs="David" w:hAnsi="Times New Roman"/>
          <w:b w:val="false"/>
          <w:i/>
          <w:iCs/>
          <w:noProof/>
          <w:sz w:val="24"/>
          <w:szCs w:val="24"/>
          <w:rtl/>
          <w:lang w:val="en-US" w:bidi="he-IL"/>
        </w:rPr>
        <w:t xml:space="preserve">סחי"ש: סוגיות בחינוך מיוחד ובשילוב</w:t>
      </w:r>
      <w:r>
        <w:rPr>
          <w:rFonts w:ascii="Times New Roman" w:cs="David" w:hAnsi="Times New Roman"/>
          <w:b w:val="false"/>
          <w:i w:val="false"/>
          <w:noProof/>
          <w:sz w:val="24"/>
          <w:szCs w:val="24"/>
          <w:rtl/>
          <w:lang w:val="en-US" w:bidi="he-IL"/>
        </w:rPr>
        <w:t xml:space="preserve">, </w:t>
      </w:r>
      <w:r>
        <w:rPr>
          <w:rFonts w:ascii="Times New Roman" w:cs="David" w:hAnsi="Times New Roman"/>
          <w:b w:val="false"/>
          <w:i/>
          <w:iCs/>
          <w:noProof/>
          <w:sz w:val="24"/>
          <w:szCs w:val="24"/>
          <w:rtl/>
          <w:lang w:val="en-US" w:bidi="he-IL"/>
        </w:rPr>
        <w:t xml:space="preserve">29</w:t>
      </w:r>
      <w:r>
        <w:rPr>
          <w:rFonts w:ascii="Times New Roman" w:cs="David" w:hAnsi="Times New Roman"/>
          <w:b w:val="false"/>
          <w:i w:val="false"/>
          <w:noProof/>
          <w:sz w:val="24"/>
          <w:szCs w:val="24"/>
          <w:rtl/>
          <w:lang w:val="en-US" w:bidi="he-IL"/>
        </w:rPr>
        <w:t xml:space="preserve">, 126-146.</w:t>
      </w:r>
    </w:p>
    <w:p>
      <w:pPr>
        <w:bidi/>
        <w:spacing w:after="120" w:line="360" w:lineRule="auto"/>
        <w:ind w:left="709" w:hanging="709"/>
      </w:pPr>
      <w:r>
        <w:rPr>
          <w:rFonts w:ascii="Times New Roman" w:cs="David" w:hAnsi="Times New Roman"/>
          <w:b w:val="false"/>
          <w:i w:val="false"/>
          <w:noProof/>
          <w:sz w:val="24"/>
          <w:szCs w:val="24"/>
          <w:rtl/>
          <w:lang w:val="en-US" w:bidi="he-IL"/>
        </w:rPr>
        <w:t xml:space="preserve">זכאי משיח, מ. וטל, ד. (2025). "עכשיו אני מרגישה הרבה יותר מורה": חקר מקרה של חדשנות חינוכית בבית ספר לחינוך מיוחד מנקודת מבטו של הצוות החינוכי. </w:t>
      </w:r>
      <w:r>
        <w:rPr>
          <w:rFonts w:ascii="Times New Roman" w:cs="David" w:hAnsi="Times New Roman"/>
          <w:b w:val="false"/>
          <w:i/>
          <w:iCs/>
          <w:noProof/>
          <w:sz w:val="24"/>
          <w:szCs w:val="24"/>
          <w:rtl/>
          <w:lang w:val="en-US" w:bidi="he-IL"/>
        </w:rPr>
        <w:t xml:space="preserve">חוקרים@החינוך המיוחד</w:t>
      </w:r>
      <w:r>
        <w:rPr>
          <w:rFonts w:ascii="Times New Roman" w:cs="David" w:hAnsi="Times New Roman"/>
          <w:b w:val="false"/>
          <w:i w:val="false"/>
          <w:noProof/>
          <w:sz w:val="24"/>
          <w:szCs w:val="24"/>
          <w:rtl/>
          <w:lang w:val="en-US" w:bidi="he-IL"/>
        </w:rPr>
        <w:t xml:space="preserve">, </w:t>
      </w:r>
      <w:r>
        <w:rPr>
          <w:rFonts w:ascii="Times New Roman" w:cs="David" w:hAnsi="Times New Roman"/>
          <w:b w:val="false"/>
          <w:i/>
          <w:iCs/>
          <w:noProof/>
          <w:sz w:val="24"/>
          <w:szCs w:val="24"/>
          <w:rtl/>
          <w:lang w:val="en-US" w:bidi="he-IL"/>
        </w:rPr>
        <w:t xml:space="preserve">6</w:t>
      </w:r>
      <w:r>
        <w:rPr>
          <w:rFonts w:ascii="Times New Roman" w:cs="David" w:hAnsi="Times New Roman"/>
          <w:b w:val="false"/>
          <w:i w:val="false"/>
          <w:noProof/>
          <w:sz w:val="24"/>
          <w:szCs w:val="24"/>
          <w:rtl/>
          <w:lang w:val="en-US" w:bidi="he-IL"/>
        </w:rPr>
        <w:t xml:space="preserve">, 53-79.</w:t>
      </w:r>
    </w:p>
    <w:p>
      <w:pPr>
        <w:bidi/>
        <w:spacing w:after="120" w:line="360" w:lineRule="auto"/>
        <w:ind w:left="709" w:hanging="709"/>
      </w:pPr>
      <w:r>
        <w:rPr>
          <w:rFonts w:ascii="Times New Roman" w:cs="David" w:hAnsi="Times New Roman"/>
          <w:b w:val="false"/>
          <w:i w:val="false"/>
          <w:noProof/>
          <w:sz w:val="24"/>
          <w:szCs w:val="24"/>
          <w:rtl/>
          <w:lang w:val="en-US" w:bidi="he-IL"/>
        </w:rPr>
        <w:t xml:space="preserve">מזרחי, ע. ויריב, א. (2022). שיפור מיומנויות חברתיות-רגשיות של תלמידה עם ASD: חקר מקרה. </w:t>
      </w:r>
      <w:r>
        <w:rPr>
          <w:rFonts w:ascii="Times New Roman" w:cs="David" w:hAnsi="Times New Roman"/>
          <w:b w:val="false"/>
          <w:i/>
          <w:iCs/>
          <w:noProof/>
          <w:sz w:val="24"/>
          <w:szCs w:val="24"/>
          <w:rtl/>
          <w:lang w:val="en-US" w:bidi="he-IL"/>
        </w:rPr>
        <w:t xml:space="preserve">חוקרים@החינוך המיוחד</w:t>
      </w:r>
      <w:r>
        <w:rPr>
          <w:rFonts w:ascii="Times New Roman" w:cs="David" w:hAnsi="Times New Roman"/>
          <w:b w:val="false"/>
          <w:i w:val="false"/>
          <w:noProof/>
          <w:sz w:val="24"/>
          <w:szCs w:val="24"/>
          <w:rtl/>
          <w:lang w:val="en-US" w:bidi="he-IL"/>
        </w:rPr>
        <w:t xml:space="preserve">, </w:t>
      </w:r>
      <w:r>
        <w:rPr>
          <w:rFonts w:ascii="Times New Roman" w:cs="David" w:hAnsi="Times New Roman"/>
          <w:b w:val="false"/>
          <w:i/>
          <w:iCs/>
          <w:noProof/>
          <w:sz w:val="24"/>
          <w:szCs w:val="24"/>
          <w:rtl/>
          <w:lang w:val="en-US" w:bidi="he-IL"/>
        </w:rPr>
        <w:t xml:space="preserve">2</w:t>
      </w:r>
      <w:r>
        <w:rPr>
          <w:rFonts w:ascii="Times New Roman" w:cs="David" w:hAnsi="Times New Roman"/>
          <w:b w:val="false"/>
          <w:i w:val="false"/>
          <w:noProof/>
          <w:sz w:val="24"/>
          <w:szCs w:val="24"/>
          <w:rtl/>
          <w:lang w:val="en-US" w:bidi="he-IL"/>
        </w:rPr>
        <w:t xml:space="preserve">. </w:t>
      </w:r>
      <w:r>
        <w:rPr>
          <w:rFonts w:ascii="Times New Roman" w:cs="David" w:hAnsi="Times New Roman"/>
          <w:i w:val="false"/>
          <w:noProof/>
          <w:sz w:val="24"/>
          <w:szCs w:val="24"/>
          <w:lang w:val="en-US" w:bidi="he-IL"/>
        </w:rPr>
        <w:t xml:space="preserve"/>
      </w:r>
    </w:p>
    <w:p>
      <w:pPr>
        <w:bidi/>
        <w:spacing w:after="120" w:line="360" w:lineRule="auto"/>
        <w:ind w:left="709" w:hanging="709"/>
      </w:pPr>
      <w:r>
        <w:rPr>
          <w:rFonts w:ascii="Times New Roman" w:cs="David" w:hAnsi="Times New Roman"/>
          <w:b w:val="false"/>
          <w:i w:val="false"/>
          <w:noProof/>
          <w:sz w:val="24"/>
          <w:szCs w:val="24"/>
          <w:rtl/>
          <w:lang w:val="en-US" w:bidi="he-IL"/>
        </w:rPr>
        <w:t xml:space="preserve">משרד החינוך. (2009). </w:t>
      </w:r>
      <w:r>
        <w:rPr>
          <w:rFonts w:ascii="Times New Roman" w:cs="David" w:hAnsi="Times New Roman"/>
          <w:b w:val="false"/>
          <w:i/>
          <w:iCs/>
          <w:noProof/>
          <w:sz w:val="24"/>
          <w:szCs w:val="24"/>
          <w:rtl/>
          <w:lang w:val="en-US" w:bidi="he-IL"/>
        </w:rPr>
        <w:t xml:space="preserve">דוח הוועדה הציבורית לבחינת מערכת החינוך המיוחד בישראל (דוח ועדת דורנר)</w:t>
      </w:r>
      <w:r>
        <w:rPr>
          <w:rFonts w:ascii="Times New Roman" w:cs="David" w:hAnsi="Times New Roman"/>
          <w:b w:val="false"/>
          <w:i w:val="false"/>
          <w:noProof/>
          <w:sz w:val="24"/>
          <w:szCs w:val="24"/>
          <w:rtl/>
          <w:lang w:val="en-US" w:bidi="he-IL"/>
        </w:rPr>
        <w:t xml:space="preserve">.</w:t>
      </w:r>
    </w:p>
    <w:p>
      <w:pPr>
        <w:bidi/>
        <w:spacing w:after="120" w:line="360" w:lineRule="auto"/>
        <w:ind w:left="709" w:hanging="709"/>
      </w:pPr>
      <w:r>
        <w:rPr>
          <w:rFonts w:ascii="Times New Roman" w:cs="David" w:hAnsi="Times New Roman"/>
          <w:b w:val="false"/>
          <w:i w:val="false"/>
          <w:noProof/>
          <w:sz w:val="24"/>
          <w:szCs w:val="24"/>
          <w:rtl/>
          <w:lang w:val="en-US" w:bidi="he-IL"/>
        </w:rPr>
        <w:t xml:space="preserve">משרד החינוך, היחידה למיניות ולמניעת פגיעה בילדים ובבני נוער. (ל.ת.). </w:t>
      </w:r>
      <w:r>
        <w:rPr>
          <w:rFonts w:ascii="Times New Roman" w:cs="David" w:hAnsi="Times New Roman"/>
          <w:b w:val="false"/>
          <w:i/>
          <w:iCs/>
          <w:noProof/>
          <w:sz w:val="24"/>
          <w:szCs w:val="24"/>
          <w:rtl/>
          <w:lang w:val="en-US" w:bidi="he-IL"/>
        </w:rPr>
        <w:t xml:space="preserve">תוכנית מעגלים</w:t>
      </w:r>
      <w:r>
        <w:rPr>
          <w:rFonts w:ascii="Times New Roman" w:cs="David" w:hAnsi="Times New Roman"/>
          <w:b w:val="false"/>
          <w:i w:val="false"/>
          <w:noProof/>
          <w:sz w:val="24"/>
          <w:szCs w:val="24"/>
          <w:rtl/>
          <w:lang w:val="en-US" w:bidi="he-IL"/>
        </w:rPr>
        <w:t xml:space="preserve"> [חוברת מידע].</w:t>
      </w:r>
    </w:p>
    <w:p>
      <w:pPr>
        <w:bidi/>
        <w:spacing w:after="120" w:line="360" w:lineRule="auto"/>
        <w:ind w:left="709" w:hanging="709"/>
      </w:pPr>
      <w:r>
        <w:rPr>
          <w:rFonts w:ascii="Times New Roman" w:cs="David" w:hAnsi="Times New Roman"/>
          <w:b w:val="false"/>
          <w:i w:val="false"/>
          <w:noProof/>
          <w:sz w:val="24"/>
          <w:szCs w:val="24"/>
          <w:rtl/>
          <w:lang w:val="en-US" w:bidi="he-IL"/>
        </w:rPr>
        <w:t xml:space="preserve">שרייבר, ב. וסגל, ע. (2018). השפעת אפליקציית למידה לקידום יכולת התמדה במשימה לצורך הבנת טקסט עבור ילד עם ASD (מאמר קצר). בתוך י. עשת-אלקלעי, א. בלאו, א. כספי, ש. אתגר, נ. גרי, י. קלמן וו. זילבר-ורוד (עורכים), </w:t>
      </w:r>
      <w:r>
        <w:rPr>
          <w:rFonts w:ascii="Times New Roman" w:cs="David" w:hAnsi="Times New Roman"/>
          <w:b w:val="false"/>
          <w:i/>
          <w:iCs/>
          <w:noProof/>
          <w:sz w:val="24"/>
          <w:szCs w:val="24"/>
          <w:rtl/>
          <w:lang w:val="en-US" w:bidi="he-IL"/>
        </w:rPr>
        <w:t xml:space="preserve">ספר הכנס השלושה-עשר לחקר חדשנות וטכנולוגיות למידה ע"ש צ'ייס: האדם הלומד בעידן הטכנולוגי</w:t>
      </w:r>
      <w:r>
        <w:rPr>
          <w:rFonts w:ascii="Times New Roman" w:cs="David" w:hAnsi="Times New Roman"/>
          <w:b w:val="false"/>
          <w:i w:val="false"/>
          <w:noProof/>
          <w:sz w:val="24"/>
          <w:szCs w:val="24"/>
          <w:rtl/>
          <w:lang w:val="en-US" w:bidi="he-IL"/>
        </w:rPr>
        <w:t xml:space="preserve"> (עמ' ע242-ע246). האוניברסיטה הפתוחה.</w:t>
      </w:r>
    </w:p>
    <w:p>
      <w:pPr>
        <w:spacing w:after="120" w:line="360" w:lineRule="auto"/>
        <w:ind w:left="709" w:hanging="709"/>
        <w:jc w:val="left"/>
      </w:pPr>
      <w:r>
        <w:rPr>
          <w:rFonts w:ascii="Times New Roman" w:cs="David" w:hAnsi="Times New Roman"/>
          <w:i w:val="false"/>
          <w:noProof/>
          <w:sz w:val="24"/>
          <w:szCs w:val="24"/>
          <w:lang w:val="en-US" w:bidi="he-IL"/>
        </w:rPr>
        <w:t xml:space="preserve">Berard, N., Loutzenhiser, L., Sevigny, P. R., &amp; Alfano, D. P. (2017). Executive function, social emotional learning, and social competence in school-aged boys with autism spectrum disorder. </w:t>
      </w:r>
      <w:r>
        <w:rPr>
          <w:rFonts w:ascii="Times New Roman" w:cs="David" w:hAnsi="Times New Roman"/>
          <w:i/>
          <w:iCs/>
          <w:noProof/>
          <w:sz w:val="24"/>
          <w:szCs w:val="24"/>
          <w:lang w:val="en-US" w:bidi="he-IL"/>
        </w:rPr>
        <w:t xml:space="preserve">Canadian Journal of School Psychology, 32</w:t>
      </w:r>
      <w:r>
        <w:rPr>
          <w:rFonts w:ascii="Times New Roman" w:cs="David" w:hAnsi="Times New Roman"/>
          <w:i w:val="false"/>
          <w:noProof/>
          <w:sz w:val="24"/>
          <w:szCs w:val="24"/>
          <w:lang w:val="en-US" w:bidi="he-IL"/>
        </w:rPr>
        <w:t xml:space="preserve">(3-4), 265-281.</w:t>
      </w:r>
    </w:p>
    <w:p>
      <w:pPr>
        <w:spacing w:after="120" w:line="360" w:lineRule="auto"/>
        <w:ind w:left="709" w:hanging="709"/>
        <w:jc w:val="left"/>
      </w:pPr>
      <w:r>
        <w:rPr>
          <w:rFonts w:ascii="Times New Roman" w:cs="David" w:hAnsi="Times New Roman"/>
          <w:i w:val="false"/>
          <w:noProof/>
          <w:sz w:val="24"/>
          <w:szCs w:val="24"/>
          <w:lang w:val="en-US" w:bidi="he-IL"/>
        </w:rPr>
        <w:t xml:space="preserve">Cipriano, C., Strambler, M. J., Naples, L. H., Ha, C., Kirk, M., Wood, M., Sehgal, K., Zieher, A. K., Eveleigh, A., McCarthy, M., Funaro, M., Ponnock, A., Chow, J. C., &amp; Durlak, J. A. (2023). The state of evidence for social and emotional learning: A contemporary meta-analysis of universal school-based SEL interventions. </w:t>
      </w:r>
      <w:r>
        <w:rPr>
          <w:rFonts w:ascii="Times New Roman" w:cs="David" w:hAnsi="Times New Roman"/>
          <w:i/>
          <w:iCs/>
          <w:noProof/>
          <w:sz w:val="24"/>
          <w:szCs w:val="24"/>
          <w:lang w:val="en-US" w:bidi="he-IL"/>
        </w:rPr>
        <w:t xml:space="preserve">Child Development, 94</w:t>
      </w:r>
      <w:r>
        <w:rPr>
          <w:rFonts w:ascii="Times New Roman" w:cs="David" w:hAnsi="Times New Roman"/>
          <w:i w:val="false"/>
          <w:noProof/>
          <w:sz w:val="24"/>
          <w:szCs w:val="24"/>
          <w:lang w:val="en-US" w:bidi="he-IL"/>
        </w:rPr>
        <w:t xml:space="preserve">(5), 1181-1204.</w:t>
      </w:r>
    </w:p>
    <w:p>
      <w:pPr>
        <w:spacing w:after="120" w:line="360" w:lineRule="auto"/>
        <w:ind w:left="709" w:hanging="709"/>
        <w:jc w:val="left"/>
      </w:pPr>
      <w:r>
        <w:rPr>
          <w:rFonts w:ascii="Times New Roman" w:cs="David" w:hAnsi="Times New Roman"/>
          <w:i w:val="false"/>
          <w:noProof/>
          <w:sz w:val="24"/>
          <w:szCs w:val="24"/>
          <w:lang w:val="en-US" w:bidi="he-IL"/>
        </w:rPr>
        <w:t xml:space="preserve">Dale, B. A., Rispoli, K., &amp; Ruble, L. A. (2022). Social emotional learning in young children with autism spectrum disorder. </w:t>
      </w:r>
      <w:r>
        <w:rPr>
          <w:rFonts w:ascii="Times New Roman" w:cs="David" w:hAnsi="Times New Roman"/>
          <w:i/>
          <w:iCs/>
          <w:noProof/>
          <w:sz w:val="24"/>
          <w:szCs w:val="24"/>
          <w:lang w:val="en-US" w:bidi="he-IL"/>
        </w:rPr>
        <w:t xml:space="preserve">Perspectives on Early Childhood Psychology and Education, 6</w:t>
      </w:r>
      <w:r>
        <w:rPr>
          <w:rFonts w:ascii="Times New Roman" w:cs="David" w:hAnsi="Times New Roman"/>
          <w:i w:val="false"/>
          <w:noProof/>
          <w:sz w:val="24"/>
          <w:szCs w:val="24"/>
          <w:lang w:val="en-US" w:bidi="he-IL"/>
        </w:rPr>
        <w:t xml:space="preserve">(2), Article 12.</w:t>
      </w:r>
    </w:p>
    <w:p>
      <w:pPr>
        <w:spacing w:after="120" w:line="360" w:lineRule="auto"/>
        <w:ind w:left="709" w:hanging="709"/>
        <w:jc w:val="left"/>
      </w:pPr>
      <w:r>
        <w:rPr>
          <w:rFonts w:ascii="Times New Roman" w:cs="David" w:hAnsi="Times New Roman"/>
          <w:i w:val="false"/>
          <w:noProof/>
          <w:sz w:val="24"/>
          <w:szCs w:val="24"/>
          <w:lang w:val="en-US" w:bidi="he-IL"/>
        </w:rPr>
        <w:t xml:space="preserve">Dean, M., Williams, J., Orlich, F., &amp; Kasari, C. (2020). Adolescents with autism spectrum disorder and social skills groups at school: A randomized trial comparing intervention environment and peer composition. </w:t>
      </w:r>
      <w:r>
        <w:rPr>
          <w:rFonts w:ascii="Times New Roman" w:cs="David" w:hAnsi="Times New Roman"/>
          <w:i/>
          <w:iCs/>
          <w:noProof/>
          <w:sz w:val="24"/>
          <w:szCs w:val="24"/>
          <w:lang w:val="en-US" w:bidi="he-IL"/>
        </w:rPr>
        <w:t xml:space="preserve">School Psychology Review, 49</w:t>
      </w:r>
      <w:r>
        <w:rPr>
          <w:rFonts w:ascii="Times New Roman" w:cs="David" w:hAnsi="Times New Roman"/>
          <w:i w:val="false"/>
          <w:noProof/>
          <w:sz w:val="24"/>
          <w:szCs w:val="24"/>
          <w:lang w:val="en-US" w:bidi="he-IL"/>
        </w:rPr>
        <w:t xml:space="preserve">(1), 60-73.</w:t>
      </w:r>
    </w:p>
    <w:p>
      <w:pPr>
        <w:spacing w:after="120" w:line="360" w:lineRule="auto"/>
        <w:ind w:left="709" w:hanging="709"/>
        <w:jc w:val="left"/>
      </w:pPr>
      <w:r>
        <w:rPr>
          <w:rFonts w:ascii="Times New Roman" w:cs="David" w:hAnsi="Times New Roman"/>
          <w:i w:val="false"/>
          <w:noProof/>
          <w:sz w:val="24"/>
          <w:szCs w:val="24"/>
          <w:lang w:val="en-US" w:bidi="he-IL"/>
        </w:rPr>
        <w:t xml:space="preserve">Hebron, J., &amp; Humphrey, N. (2014). Mental health difficulties among young people on the autistic spectrum in mainstream secondary schools: A comparative study. </w:t>
      </w:r>
      <w:r>
        <w:rPr>
          <w:rFonts w:ascii="Times New Roman" w:cs="David" w:hAnsi="Times New Roman"/>
          <w:i/>
          <w:iCs/>
          <w:noProof/>
          <w:sz w:val="24"/>
          <w:szCs w:val="24"/>
          <w:lang w:val="en-US" w:bidi="he-IL"/>
        </w:rPr>
        <w:t xml:space="preserve">Journal of Research in Special Educational Needs, 14</w:t>
      </w:r>
      <w:r>
        <w:rPr>
          <w:rFonts w:ascii="Times New Roman" w:cs="David" w:hAnsi="Times New Roman"/>
          <w:i w:val="false"/>
          <w:noProof/>
          <w:sz w:val="24"/>
          <w:szCs w:val="24"/>
          <w:lang w:val="en-US" w:bidi="he-IL"/>
        </w:rPr>
        <w:t xml:space="preserve">(1), 22-32.</w:t>
      </w:r>
    </w:p>
    <w:p>
      <w:pPr>
        <w:spacing w:after="120" w:line="360" w:lineRule="auto"/>
        <w:ind w:left="709" w:hanging="709"/>
        <w:jc w:val="left"/>
      </w:pPr>
      <w:r>
        <w:rPr>
          <w:rFonts w:ascii="Times New Roman" w:cs="David" w:hAnsi="Times New Roman"/>
          <w:i w:val="false"/>
          <w:noProof/>
          <w:sz w:val="24"/>
          <w:szCs w:val="24"/>
          <w:lang w:val="en-US" w:bidi="he-IL"/>
        </w:rPr>
        <w:t xml:space="preserve">Hillman, K., Dix, K., Ahmed, K., Lietz, P., Trevitt, J., O’Grady, E., Uljarević, M., Vivanti, G., &amp; Hedley, D. (2020). Interventions for anxiety in mainstream school-aged children with autism spectrum disorder: A systematic review. </w:t>
      </w:r>
      <w:r>
        <w:rPr>
          <w:rFonts w:ascii="Times New Roman" w:cs="David" w:hAnsi="Times New Roman"/>
          <w:i/>
          <w:iCs/>
          <w:noProof/>
          <w:sz w:val="24"/>
          <w:szCs w:val="24"/>
          <w:lang w:val="en-US" w:bidi="he-IL"/>
        </w:rPr>
        <w:t xml:space="preserve">Campbell Systematic Reviews, 16</w:t>
      </w:r>
      <w:r>
        <w:rPr>
          <w:rFonts w:ascii="Times New Roman" w:cs="David" w:hAnsi="Times New Roman"/>
          <w:i w:val="false"/>
          <w:noProof/>
          <w:sz w:val="24"/>
          <w:szCs w:val="24"/>
          <w:lang w:val="en-US" w:bidi="he-IL"/>
        </w:rPr>
        <w:t xml:space="preserve">(2), e1086.</w:t>
      </w:r>
    </w:p>
    <w:p>
      <w:pPr>
        <w:spacing w:after="120" w:line="360" w:lineRule="auto"/>
        <w:ind w:left="709" w:hanging="709"/>
        <w:jc w:val="left"/>
      </w:pPr>
      <w:r>
        <w:rPr>
          <w:rFonts w:ascii="Times New Roman" w:cs="David" w:hAnsi="Times New Roman"/>
          <w:i w:val="false"/>
          <w:noProof/>
          <w:sz w:val="24"/>
          <w:szCs w:val="24"/>
          <w:lang w:val="en-US" w:bidi="he-IL"/>
        </w:rPr>
        <w:t xml:space="preserve">Hodges, A., Cordier, R., Joosten, A., &amp; Bourke-Taylor, H. (2022). Closing the gap between theory and practice: Conceptualisation of a school-based intervention to improve the school participation of primary school students on the autism spectrum and their typically developing peers. </w:t>
      </w:r>
      <w:r>
        <w:rPr>
          <w:rFonts w:ascii="Times New Roman" w:cs="David" w:hAnsi="Times New Roman"/>
          <w:i/>
          <w:iCs/>
          <w:noProof/>
          <w:sz w:val="24"/>
          <w:szCs w:val="24"/>
          <w:lang w:val="en-US" w:bidi="he-IL"/>
        </w:rPr>
        <w:t xml:space="preserve">Journal of Autism and Developmental Disorders, 52</w:t>
      </w:r>
      <w:r>
        <w:rPr>
          <w:rFonts w:ascii="Times New Roman" w:cs="David" w:hAnsi="Times New Roman"/>
          <w:i w:val="false"/>
          <w:noProof/>
          <w:sz w:val="24"/>
          <w:szCs w:val="24"/>
          <w:lang w:val="en-US" w:bidi="he-IL"/>
        </w:rPr>
        <w:t xml:space="preserve">(7), 3230-3245.</w:t>
      </w:r>
    </w:p>
    <w:p>
      <w:pPr>
        <w:spacing w:after="120" w:line="360" w:lineRule="auto"/>
        <w:ind w:left="709" w:hanging="709"/>
        <w:jc w:val="left"/>
      </w:pPr>
      <w:r>
        <w:rPr>
          <w:rFonts w:ascii="Times New Roman" w:cs="David" w:hAnsi="Times New Roman"/>
          <w:i w:val="false"/>
          <w:noProof/>
          <w:sz w:val="24"/>
          <w:szCs w:val="24"/>
          <w:lang w:val="en-US" w:bidi="he-IL"/>
        </w:rPr>
        <w:t xml:space="preserve">Pasqualotto, A., Mazzoni, N., Bentenuto, A., Mulè, A., Benso, F., &amp; Venuti, P. (2021). Effects of cognitive training programs on executive function in children and adolescents with autism spectrum disorder: A systematic review. </w:t>
      </w:r>
      <w:r>
        <w:rPr>
          <w:rFonts w:ascii="Times New Roman" w:cs="David" w:hAnsi="Times New Roman"/>
          <w:i/>
          <w:iCs/>
          <w:noProof/>
          <w:sz w:val="24"/>
          <w:szCs w:val="24"/>
          <w:lang w:val="en-US" w:bidi="he-IL"/>
        </w:rPr>
        <w:t xml:space="preserve">Brain Sciences, 11</w:t>
      </w:r>
      <w:r>
        <w:rPr>
          <w:rFonts w:ascii="Times New Roman" w:cs="David" w:hAnsi="Times New Roman"/>
          <w:i w:val="false"/>
          <w:noProof/>
          <w:sz w:val="24"/>
          <w:szCs w:val="24"/>
          <w:lang w:val="en-US" w:bidi="he-IL"/>
        </w:rPr>
        <w:t xml:space="preserve">(10), 1280.</w:t>
      </w:r>
    </w:p>
    <w:p>
      <w:pPr>
        <w:spacing w:after="120" w:line="360" w:lineRule="auto"/>
        <w:ind w:left="709" w:hanging="709"/>
        <w:jc w:val="left"/>
      </w:pPr>
      <w:r>
        <w:rPr>
          <w:rFonts w:ascii="Times New Roman" w:cs="David" w:hAnsi="Times New Roman"/>
          <w:i w:val="false"/>
          <w:noProof/>
          <w:sz w:val="24"/>
          <w:szCs w:val="24"/>
          <w:lang w:val="en-US" w:bidi="he-IL"/>
        </w:rPr>
        <w:t xml:space="preserve">Zeidan, J., Fombonne, E., Scorah, J., Ibrahim, A., Durkin, M. S., Saxena, S., Yusuf, A., Shih, A., &amp; Elsabbagh, M. (2022). Global prevalence of autism: A systematic review update. </w:t>
      </w:r>
      <w:r>
        <w:rPr>
          <w:rFonts w:ascii="Times New Roman" w:cs="David" w:hAnsi="Times New Roman"/>
          <w:i/>
          <w:iCs/>
          <w:noProof/>
          <w:sz w:val="24"/>
          <w:szCs w:val="24"/>
          <w:lang w:val="en-US" w:bidi="he-IL"/>
        </w:rPr>
        <w:t xml:space="preserve">Autism Research, 15</w:t>
      </w:r>
      <w:r>
        <w:rPr>
          <w:rFonts w:ascii="Times New Roman" w:cs="David" w:hAnsi="Times New Roman"/>
          <w:i w:val="false"/>
          <w:noProof/>
          <w:sz w:val="24"/>
          <w:szCs w:val="24"/>
          <w:lang w:val="en-US" w:bidi="he-IL"/>
        </w:rPr>
        <w:t xml:space="preserve">(5), 778-790.</w:t>
      </w:r>
    </w:p>
    <w:sectPr>
      <w:pgSz w:w="11906" w:h="16838" w:orient="portrait"/>
      <w:pgMar w:top="1134" w:right="1701"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2026-08-21T12:12:38.742Z</dcterms:created>
  <dcterms:modified xsi:type="dcterms:W3CDTF">2026-08-21T12:12:38.742Z</dcterms:modified>
</cp:coreProperties>
</file>

<file path=docProps/custom.xml><?xml version="1.0" encoding="utf-8"?>
<Properties xmlns="http://schemas.openxmlformats.org/officeDocument/2006/custom-properties" xmlns:vt="http://schemas.openxmlformats.org/officeDocument/2006/docPropsVTypes"/>
</file>