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0" w:line="360"/>
        <w:jc w:val="center"/>
      </w:pPr>
      <w:r>
        <w:rPr>
          <w:rFonts w:ascii="David" w:cs="David" w:eastAsia="David" w:hAnsi="David"/>
          <w:b/>
          <w:bCs/>
          <w:i w:val="false"/>
          <w:sz w:val="32"/>
          <w:szCs w:val="32"/>
          <w:rtl/>
        </w:rPr>
        <w:t xml:space="preserve">הצעת מחקר לעבודת סמינר</w:t>
      </w:r>
    </w:p>
    <w:p>
      <w:pPr>
        <w:bidi/>
        <w:spacing w:after="60" w:before="0" w:line="360"/>
        <w:jc w:val="center"/>
      </w:pPr>
      <w:r>
        <w:rPr>
          <w:rFonts w:ascii="David" w:cs="David" w:eastAsia="David" w:hAnsi="David"/>
          <w:b w:val="false"/>
          <w:i w:val="false"/>
          <w:sz w:val="24"/>
          <w:szCs w:val="24"/>
          <w:rtl/>
        </w:rPr>
        <w:t xml:space="preserve">שם המגיש/ה: ________________</w:t>
      </w:r>
    </w:p>
    <w:p>
      <w:pPr>
        <w:bidi/>
        <w:spacing w:after="360" w:before="0" w:line="360"/>
        <w:jc w:val="center"/>
      </w:pPr>
      <w:r>
        <w:rPr>
          <w:rFonts w:ascii="David" w:cs="David" w:eastAsia="David" w:hAnsi="David"/>
          <w:b w:val="false"/>
          <w:i w:val="false"/>
          <w:sz w:val="24"/>
          <w:szCs w:val="24"/>
          <w:rtl/>
        </w:rPr>
        <w:t xml:space="preserve">ת"ז: ________________</w:t>
      </w:r>
    </w:p>
    <w:p>
      <w:pPr>
        <w:bidi/>
        <w:spacing w:after="240" w:before="0" w:line="360"/>
        <w:jc w:val="both"/>
      </w:pPr>
      <w:r>
        <w:rPr>
          <w:rFonts w:ascii="David" w:cs="David" w:eastAsia="David" w:hAnsi="David"/>
          <w:b w:val="false"/>
          <w:i w:val="false"/>
          <w:sz w:val="24"/>
          <w:szCs w:val="24"/>
          <w:rtl/>
        </w:rPr>
        <w:t xml:space="preserve">בהתאם להנחיות, מוצג להלן נושא לעבודת הסמינר מתוך רשימת הנושאים, ולצדו שאלת המחקר, ראשי פרקים מוצעים ורשימת מקורות ראשונית, לאישורך לפני תחילת העבודה.</w:t>
      </w:r>
    </w:p>
    <w:p>
      <w:pPr>
        <w:bidi/>
        <w:spacing w:after="200" w:before="240" w:line="360"/>
        <w:jc w:val="both"/>
      </w:pPr>
      <w:r>
        <w:rPr>
          <w:rFonts w:ascii="David" w:cs="David" w:eastAsia="David" w:hAnsi="David"/>
          <w:b/>
          <w:bCs/>
          <w:i w:val="false"/>
          <w:sz w:val="28"/>
          <w:szCs w:val="28"/>
          <w:rtl/>
        </w:rPr>
        <w:t xml:space="preserve">הנושא: תופעת ההתאסלמות והגורמים בבסיסה (נושא 14 ברשימה)</w:t>
      </w:r>
    </w:p>
    <w:p>
      <w:pPr>
        <w:bidi/>
        <w:spacing w:after="120" w:before="0" w:line="360"/>
        <w:jc w:val="both"/>
      </w:pPr>
      <w:r>
        <w:rPr>
          <w:rFonts w:ascii="David" w:cs="David" w:eastAsia="David" w:hAnsi="David"/>
          <w:b/>
          <w:bCs/>
          <w:i w:val="false"/>
          <w:sz w:val="24"/>
          <w:szCs w:val="24"/>
          <w:rtl/>
        </w:rPr>
        <w:t xml:space="preserve">כותרת מוצעת לעבודה: </w:t>
      </w:r>
      <w:r>
        <w:rPr>
          <w:rFonts w:ascii="David" w:cs="David" w:eastAsia="David" w:hAnsi="David"/>
          <w:b w:val="false"/>
          <w:i w:val="false"/>
          <w:sz w:val="24"/>
          <w:szCs w:val="24"/>
          <w:rtl/>
        </w:rPr>
        <w:t xml:space="preserve">"מדוע התאסלמו? גורמי ההתאסלמות במזרח התיכון בימי הביניים ותגובות קהילות המוצא"</w:t>
      </w:r>
    </w:p>
    <w:p>
      <w:pPr>
        <w:bidi/>
        <w:spacing w:after="200" w:before="240" w:line="360"/>
        <w:jc w:val="both"/>
      </w:pPr>
      <w:r>
        <w:rPr>
          <w:rFonts w:ascii="David" w:cs="David" w:eastAsia="David" w:hAnsi="David"/>
          <w:b/>
          <w:bCs/>
          <w:i w:val="false"/>
          <w:sz w:val="26"/>
          <w:szCs w:val="26"/>
          <w:rtl/>
        </w:rPr>
        <w:t xml:space="preserve">רציונל</w:t>
      </w:r>
    </w:p>
    <w:p>
      <w:pPr>
        <w:bidi/>
        <w:spacing w:after="120" w:before="0" w:line="360"/>
        <w:jc w:val="both"/>
      </w:pPr>
      <w:r>
        <w:rPr>
          <w:rFonts w:ascii="David" w:cs="David" w:eastAsia="David" w:hAnsi="David"/>
          <w:b w:val="false"/>
          <w:i w:val="false"/>
          <w:sz w:val="24"/>
          <w:szCs w:val="24"/>
          <w:rtl/>
        </w:rPr>
        <w:t xml:space="preserve">ההתאסלמות היא התהליך שהפך את המזרח התיכון מאזור שרובו לא-מוסלמי לליבו של עולם האסלאם, ובכל זאת היא מתועדת במקורות באופן חלקי בלבד. מאז מחקרו הכמותי של בולייט </w:t>
      </w:r>
      <w:r>
        <w:rPr>
          <w:rFonts w:ascii="Times New Roman" w:cs="Times New Roman" w:eastAsia="Times New Roman" w:hAnsi="Times New Roman"/>
          <w:b w:val="false"/>
          <w:bCs w:val="false"/>
          <w:i w:val="false"/>
          <w:iCs w:val="false"/>
          <w:sz w:val="24"/>
          <w:szCs w:val="24"/>
        </w:rPr>
        <w:t xml:space="preserve">(Bulliet, 1979)</w:t>
      </w:r>
      <w:r>
        <w:rPr>
          <w:rFonts w:ascii="David" w:cs="David" w:eastAsia="David" w:hAnsi="David"/>
          <w:b w:val="false"/>
          <w:i w:val="false"/>
          <w:sz w:val="24"/>
          <w:szCs w:val="24"/>
          <w:rtl/>
        </w:rPr>
        <w:t xml:space="preserve">, שניסה לשחזר את קצב ההתאסלמות מתוך שושלות שמות, נטוש במחקר ויכוח על היקף התופעה, על קצבה ועל מניעיה. בעשור האחרון חזר הנושא למרכז הדיון. קובץ מקורות חדש כינס לראשונה עדויות ראשוניות על המרות דת ממרחב גאוגרפי רחב </w:t>
      </w:r>
      <w:r>
        <w:rPr>
          <w:rFonts w:ascii="Times New Roman" w:cs="Times New Roman" w:eastAsia="Times New Roman" w:hAnsi="Times New Roman"/>
          <w:b w:val="false"/>
          <w:bCs w:val="false"/>
          <w:i w:val="false"/>
          <w:iCs w:val="false"/>
          <w:sz w:val="24"/>
          <w:szCs w:val="24"/>
        </w:rPr>
        <w:t xml:space="preserve">(Hurvitz et al., 2020)</w:t>
      </w:r>
      <w:r>
        <w:rPr>
          <w:rFonts w:ascii="David" w:cs="David" w:eastAsia="David" w:hAnsi="David"/>
          <w:b w:val="false"/>
          <w:i w:val="false"/>
          <w:sz w:val="24"/>
          <w:szCs w:val="24"/>
          <w:rtl/>
        </w:rPr>
        <w:t xml:space="preserve">, ומחקרים השוואתיים בחנו את ההתאסלמות כתהליך חברתי ותרבותי ולא רק כהכרעה דתית של יחידים </w:t>
      </w:r>
      <w:r>
        <w:rPr>
          <w:rFonts w:ascii="Times New Roman" w:cs="Times New Roman" w:eastAsia="Times New Roman" w:hAnsi="Times New Roman"/>
          <w:b w:val="false"/>
          <w:bCs w:val="false"/>
          <w:i w:val="false"/>
          <w:iCs w:val="false"/>
          <w:sz w:val="24"/>
          <w:szCs w:val="24"/>
        </w:rPr>
        <w:t xml:space="preserve">(Peacock, 2017)</w:t>
      </w:r>
      <w:r>
        <w:rPr>
          <w:rFonts w:ascii="David" w:cs="David" w:eastAsia="David" w:hAnsi="David"/>
          <w:b w:val="false"/>
          <w:i w:val="false"/>
          <w:sz w:val="24"/>
          <w:szCs w:val="24"/>
          <w:rtl/>
        </w:rPr>
        <w:t xml:space="preserve">. מחקרים אלה מלמדים שהמרת הדת הקנתה פטור ממס הגולגולת, שחרור מעבדות ויתרונות במעמד האישי </w:t>
      </w:r>
      <w:r>
        <w:rPr>
          <w:rFonts w:ascii="Times New Roman" w:cs="Times New Roman" w:eastAsia="Times New Roman" w:hAnsi="Times New Roman"/>
          <w:b w:val="false"/>
          <w:bCs w:val="false"/>
          <w:i w:val="false"/>
          <w:iCs w:val="false"/>
          <w:sz w:val="24"/>
          <w:szCs w:val="24"/>
        </w:rPr>
        <w:t xml:space="preserve">(Simonsohn, 2017)</w:t>
      </w:r>
      <w:r>
        <w:rPr>
          <w:rFonts w:ascii="David" w:cs="David" w:eastAsia="David" w:hAnsi="David"/>
          <w:b w:val="false"/>
          <w:i w:val="false"/>
          <w:sz w:val="24"/>
          <w:szCs w:val="24"/>
          <w:rtl/>
        </w:rPr>
        <w:t xml:space="preserve">, אך גם גבתה מחיר, שכן קהילות המוצא הגיבו עליה בחרם, בניתוק ולעיתים במאבק על השבת המומר לדת מקורו </w:t>
      </w:r>
      <w:r>
        <w:rPr>
          <w:rFonts w:ascii="Times New Roman" w:cs="Times New Roman" w:eastAsia="Times New Roman" w:hAnsi="Times New Roman"/>
          <w:b w:val="false"/>
          <w:bCs w:val="false"/>
          <w:i w:val="false"/>
          <w:iCs w:val="false"/>
          <w:sz w:val="24"/>
          <w:szCs w:val="24"/>
        </w:rPr>
        <w:t xml:space="preserve">(Sahner, 2018; Yagur, 2023)</w:t>
      </w:r>
      <w:r>
        <w:rPr>
          <w:rFonts w:ascii="David" w:cs="David" w:eastAsia="David" w:hAnsi="David"/>
          <w:b w:val="false"/>
          <w:i w:val="false"/>
          <w:sz w:val="24"/>
          <w:szCs w:val="24"/>
          <w:rtl/>
        </w:rPr>
        <w:t xml:space="preserve">.</w:t>
      </w:r>
    </w:p>
    <w:p>
      <w:pPr>
        <w:bidi/>
        <w:spacing w:after="200" w:before="240" w:line="360"/>
        <w:jc w:val="both"/>
      </w:pPr>
      <w:r>
        <w:rPr>
          <w:rFonts w:ascii="David" w:cs="David" w:eastAsia="David" w:hAnsi="David"/>
          <w:b/>
          <w:bCs/>
          <w:i w:val="false"/>
          <w:sz w:val="26"/>
          <w:szCs w:val="26"/>
          <w:rtl/>
        </w:rPr>
        <w:t xml:space="preserve">שאלת המחקר</w:t>
      </w:r>
    </w:p>
    <w:p>
      <w:pPr>
        <w:bidi/>
        <w:spacing w:after="120" w:before="0" w:line="360"/>
        <w:jc w:val="both"/>
      </w:pPr>
      <w:r>
        <w:rPr>
          <w:rFonts w:ascii="David" w:cs="David" w:eastAsia="David" w:hAnsi="David"/>
          <w:b w:val="false"/>
          <w:i w:val="false"/>
          <w:sz w:val="24"/>
          <w:szCs w:val="24"/>
          <w:rtl/>
        </w:rPr>
        <w:t xml:space="preserve">מה היו הגורמים החברתיים, הכלכליים והדתיים שהניעו בני חסות להתאסלם במזרח התיכון בין המאה השביעית למאה השלוש-עשרה, וכיצד התמודדו קהילות המוצא היהודיות והנוצריות עם חציית הגבול הדתי?</w:t>
      </w:r>
    </w:p>
    <w:p>
      <w:pPr>
        <w:bidi/>
        <w:spacing w:after="200" w:before="240" w:line="360"/>
        <w:jc w:val="both"/>
      </w:pPr>
      <w:r>
        <w:rPr>
          <w:rFonts w:ascii="David" w:cs="David" w:eastAsia="David" w:hAnsi="David"/>
          <w:b/>
          <w:bCs/>
          <w:i w:val="false"/>
          <w:sz w:val="26"/>
          <w:szCs w:val="26"/>
          <w:rtl/>
        </w:rPr>
        <w:t xml:space="preserve">ראשי פרקים מוצעים</w:t>
      </w:r>
    </w:p>
    <w:p>
      <w:pPr>
        <w:bidi/>
        <w:spacing w:after="120" w:before="0" w:line="360"/>
        <w:jc w:val="both"/>
      </w:pPr>
      <w:r>
        <w:rPr>
          <w:rFonts w:ascii="David" w:cs="David" w:eastAsia="David" w:hAnsi="David"/>
          <w:b/>
          <w:bCs/>
          <w:i w:val="false"/>
          <w:sz w:val="24"/>
          <w:szCs w:val="24"/>
          <w:rtl/>
        </w:rPr>
        <w:t xml:space="preserve">פרק ראשון: מבוא. </w:t>
      </w:r>
      <w:r>
        <w:rPr>
          <w:rFonts w:ascii="David" w:cs="David" w:eastAsia="David" w:hAnsi="David"/>
          <w:b w:val="false"/>
          <w:i w:val="false"/>
          <w:sz w:val="24"/>
          <w:szCs w:val="24"/>
          <w:rtl/>
        </w:rPr>
        <w:t xml:space="preserve">הצגת שאלת המחקר, סקירת מצב המחקר ובעיית המקורות ההיסטוריים לחקר ההתאסלמות.</w:t>
      </w:r>
    </w:p>
    <w:p>
      <w:pPr>
        <w:bidi/>
        <w:spacing w:after="120" w:before="0" w:line="360"/>
        <w:jc w:val="both"/>
      </w:pPr>
      <w:r>
        <w:rPr>
          <w:rFonts w:ascii="David" w:cs="David" w:eastAsia="David" w:hAnsi="David"/>
          <w:b/>
          <w:bCs/>
          <w:i w:val="false"/>
          <w:sz w:val="24"/>
          <w:szCs w:val="24"/>
          <w:rtl/>
        </w:rPr>
        <w:t xml:space="preserve">פרק שני: מעמד בני החסות כרקע להתאסלמות. </w:t>
      </w:r>
      <w:r>
        <w:rPr>
          <w:rFonts w:ascii="David" w:cs="David" w:eastAsia="David" w:hAnsi="David"/>
          <w:b w:val="false"/>
          <w:i w:val="false"/>
          <w:sz w:val="24"/>
          <w:szCs w:val="24"/>
          <w:rtl/>
        </w:rPr>
        <w:t xml:space="preserve">המסגרת המשפטית והחברתית שבתוכה חיו לא-מוסלמים, ובמרכזה חוזה עומר (סימונסון, 2015), לצד מנגנוני ההבחנה בין הקבוצות בחברה מעורבת </w:t>
      </w:r>
      <w:r>
        <w:rPr>
          <w:rFonts w:ascii="Times New Roman" w:cs="Times New Roman" w:eastAsia="Times New Roman" w:hAnsi="Times New Roman"/>
          <w:b w:val="false"/>
          <w:bCs w:val="false"/>
          <w:i w:val="false"/>
          <w:iCs w:val="false"/>
          <w:sz w:val="24"/>
          <w:szCs w:val="24"/>
        </w:rPr>
        <w:t xml:space="preserve">(Safran, 2001)</w:t>
      </w:r>
      <w:r>
        <w:rPr>
          <w:rFonts w:ascii="David" w:cs="David" w:eastAsia="David" w:hAnsi="David"/>
          <w:b w:val="false"/>
          <w:i w:val="false"/>
          <w:sz w:val="24"/>
          <w:szCs w:val="24"/>
          <w:rtl/>
        </w:rPr>
        <w:t xml:space="preserve">.</w:t>
      </w:r>
    </w:p>
    <w:p>
      <w:pPr>
        <w:bidi/>
        <w:spacing w:after="120" w:before="0" w:line="360"/>
        <w:jc w:val="both"/>
      </w:pPr>
      <w:r>
        <w:rPr>
          <w:rFonts w:ascii="David" w:cs="David" w:eastAsia="David" w:hAnsi="David"/>
          <w:b/>
          <w:bCs/>
          <w:i w:val="false"/>
          <w:sz w:val="24"/>
          <w:szCs w:val="24"/>
          <w:rtl/>
        </w:rPr>
        <w:t xml:space="preserve">פרק שלישי: היקף וקצב ההתאסלמות. </w:t>
      </w:r>
      <w:r>
        <w:rPr>
          <w:rFonts w:ascii="David" w:cs="David" w:eastAsia="David" w:hAnsi="David"/>
          <w:b w:val="false"/>
          <w:i w:val="false"/>
          <w:sz w:val="24"/>
          <w:szCs w:val="24"/>
          <w:rtl/>
        </w:rPr>
        <w:t xml:space="preserve">הדיון הכמותי בעקבות בולייט </w:t>
      </w:r>
      <w:r>
        <w:rPr>
          <w:rFonts w:ascii="Times New Roman" w:cs="Times New Roman" w:eastAsia="Times New Roman" w:hAnsi="Times New Roman"/>
          <w:b w:val="false"/>
          <w:bCs w:val="false"/>
          <w:i w:val="false"/>
          <w:iCs w:val="false"/>
          <w:sz w:val="24"/>
          <w:szCs w:val="24"/>
        </w:rPr>
        <w:t xml:space="preserve">(Bulliet, 1979)</w:t>
      </w:r>
      <w:r>
        <w:rPr>
          <w:rFonts w:ascii="David" w:cs="David" w:eastAsia="David" w:hAnsi="David"/>
          <w:b w:val="false"/>
          <w:i w:val="false"/>
          <w:sz w:val="24"/>
          <w:szCs w:val="24"/>
          <w:rtl/>
        </w:rPr>
        <w:t xml:space="preserve"> והביקורת עליו במחקר ההשוואתי העדכני </w:t>
      </w:r>
      <w:r>
        <w:rPr>
          <w:rFonts w:ascii="Times New Roman" w:cs="Times New Roman" w:eastAsia="Times New Roman" w:hAnsi="Times New Roman"/>
          <w:b w:val="false"/>
          <w:bCs w:val="false"/>
          <w:i w:val="false"/>
          <w:iCs w:val="false"/>
          <w:sz w:val="24"/>
          <w:szCs w:val="24"/>
        </w:rPr>
        <w:t xml:space="preserve">(Peacock, 2017)</w:t>
      </w:r>
      <w:r>
        <w:rPr>
          <w:rFonts w:ascii="David" w:cs="David" w:eastAsia="David" w:hAnsi="David"/>
          <w:b w:val="false"/>
          <w:i w:val="false"/>
          <w:sz w:val="24"/>
          <w:szCs w:val="24"/>
          <w:rtl/>
        </w:rPr>
        <w:t xml:space="preserve">.</w:t>
      </w:r>
    </w:p>
    <w:p>
      <w:pPr>
        <w:bidi/>
        <w:spacing w:after="120" w:before="0" w:line="360"/>
        <w:jc w:val="both"/>
      </w:pPr>
      <w:r>
        <w:rPr>
          <w:rFonts w:ascii="David" w:cs="David" w:eastAsia="David" w:hAnsi="David"/>
          <w:b/>
          <w:bCs/>
          <w:i w:val="false"/>
          <w:sz w:val="24"/>
          <w:szCs w:val="24"/>
          <w:rtl/>
        </w:rPr>
        <w:t xml:space="preserve">פרק רביעי: הגורמים להתאסלמות. </w:t>
      </w:r>
      <w:r>
        <w:rPr>
          <w:rFonts w:ascii="David" w:cs="David" w:eastAsia="David" w:hAnsi="David"/>
          <w:b w:val="false"/>
          <w:i w:val="false"/>
          <w:sz w:val="24"/>
          <w:szCs w:val="24"/>
          <w:rtl/>
        </w:rPr>
        <w:t xml:space="preserve">מס, קידום חברתי, נישואים, עבדות וכפייה, כפי שהם עולים מן המקורות הראשוניים </w:t>
      </w:r>
      <w:r>
        <w:rPr>
          <w:rFonts w:ascii="Times New Roman" w:cs="Times New Roman" w:eastAsia="Times New Roman" w:hAnsi="Times New Roman"/>
          <w:b w:val="false"/>
          <w:bCs w:val="false"/>
          <w:i w:val="false"/>
          <w:iCs w:val="false"/>
          <w:sz w:val="24"/>
          <w:szCs w:val="24"/>
        </w:rPr>
        <w:t xml:space="preserve">(Hurvitz et al., 2020; Simonsohn, 2017)</w:t>
      </w:r>
      <w:r>
        <w:rPr>
          <w:rFonts w:ascii="David" w:cs="David" w:eastAsia="David" w:hAnsi="David"/>
          <w:b w:val="false"/>
          <w:i w:val="false"/>
          <w:sz w:val="24"/>
          <w:szCs w:val="24"/>
          <w:rtl/>
        </w:rPr>
        <w:t xml:space="preserve">.</w:t>
      </w:r>
    </w:p>
    <w:p>
      <w:pPr>
        <w:bidi/>
        <w:spacing w:after="120" w:before="0" w:line="360"/>
        <w:jc w:val="both"/>
      </w:pPr>
      <w:r>
        <w:rPr>
          <w:rFonts w:ascii="David" w:cs="David" w:eastAsia="David" w:hAnsi="David"/>
          <w:b/>
          <w:bCs/>
          <w:i w:val="false"/>
          <w:sz w:val="24"/>
          <w:szCs w:val="24"/>
          <w:rtl/>
        </w:rPr>
        <w:t xml:space="preserve">פרק חמישי: תגובות קהילות המוצא. </w:t>
      </w:r>
      <w:r>
        <w:rPr>
          <w:rFonts w:ascii="David" w:cs="David" w:eastAsia="David" w:hAnsi="David"/>
          <w:b w:val="false"/>
          <w:i w:val="false"/>
          <w:sz w:val="24"/>
          <w:szCs w:val="24"/>
          <w:rtl/>
        </w:rPr>
        <w:t xml:space="preserve">חרם, נידוי ושרטוט מחדש של גבולות הקהילה היהודית </w:t>
      </w:r>
      <w:r>
        <w:rPr>
          <w:rFonts w:ascii="Times New Roman" w:cs="Times New Roman" w:eastAsia="Times New Roman" w:hAnsi="Times New Roman"/>
          <w:b w:val="false"/>
          <w:bCs w:val="false"/>
          <w:i w:val="false"/>
          <w:iCs w:val="false"/>
          <w:sz w:val="24"/>
          <w:szCs w:val="24"/>
        </w:rPr>
        <w:t xml:space="preserve">(Yagur, 2023)</w:t>
      </w:r>
      <w:r>
        <w:rPr>
          <w:rFonts w:ascii="David" w:cs="David" w:eastAsia="David" w:hAnsi="David"/>
          <w:b w:val="false"/>
          <w:i w:val="false"/>
          <w:sz w:val="24"/>
          <w:szCs w:val="24"/>
          <w:rtl/>
        </w:rPr>
        <w:t xml:space="preserve">, ופולחן המרטירים כתגובת נגד נוצרית </w:t>
      </w:r>
      <w:r>
        <w:rPr>
          <w:rFonts w:ascii="Times New Roman" w:cs="Times New Roman" w:eastAsia="Times New Roman" w:hAnsi="Times New Roman"/>
          <w:b w:val="false"/>
          <w:bCs w:val="false"/>
          <w:i w:val="false"/>
          <w:iCs w:val="false"/>
          <w:sz w:val="24"/>
          <w:szCs w:val="24"/>
        </w:rPr>
        <w:t xml:space="preserve">(Sahner, 2018)</w:t>
      </w:r>
      <w:r>
        <w:rPr>
          <w:rFonts w:ascii="David" w:cs="David" w:eastAsia="David" w:hAnsi="David"/>
          <w:b w:val="false"/>
          <w:i w:val="false"/>
          <w:sz w:val="24"/>
          <w:szCs w:val="24"/>
          <w:rtl/>
        </w:rPr>
        <w:t xml:space="preserve">.</w:t>
      </w:r>
    </w:p>
    <w:p>
      <w:pPr>
        <w:bidi/>
        <w:spacing w:after="120" w:before="0" w:line="360"/>
        <w:jc w:val="both"/>
      </w:pPr>
      <w:r>
        <w:rPr>
          <w:rFonts w:ascii="David" w:cs="David" w:eastAsia="David" w:hAnsi="David"/>
          <w:b/>
          <w:bCs/>
          <w:i w:val="false"/>
          <w:sz w:val="24"/>
          <w:szCs w:val="24"/>
          <w:rtl/>
        </w:rPr>
        <w:t xml:space="preserve">פרק שישי: סיכום ומסקנות.</w:t>
      </w:r>
    </w:p>
    <w:p>
      <w:pPr>
        <w:bidi/>
        <w:spacing w:after="200" w:before="240" w:line="360"/>
        <w:jc w:val="both"/>
      </w:pPr>
      <w:r>
        <w:rPr>
          <w:rFonts w:ascii="David" w:cs="David" w:eastAsia="David" w:hAnsi="David"/>
          <w:b/>
          <w:bCs/>
          <w:i w:val="false"/>
          <w:sz w:val="26"/>
          <w:szCs w:val="26"/>
          <w:rtl/>
        </w:rPr>
        <w:t xml:space="preserve">רשימת מקורות ראשונית</w:t>
      </w:r>
    </w:p>
    <w:p>
      <w:pPr>
        <w:bidi/>
        <w:spacing w:after="120" w:line="360"/>
        <w:ind w:start="709" w:hanging="709"/>
        <w:jc w:val="both"/>
      </w:pPr>
      <w:r>
        <w:rPr>
          <w:rFonts w:ascii="David" w:cs="David" w:eastAsia="David" w:hAnsi="David"/>
          <w:b w:val="false"/>
          <w:i w:val="false"/>
          <w:sz w:val="24"/>
          <w:szCs w:val="24"/>
          <w:rtl/>
        </w:rPr>
        <w:t xml:space="preserve">סימונסון, א' (2015). בין היפרדות להיטמעות: חוזה עמר בהקשריו התרבותיים והחברתיים. </w:t>
      </w:r>
      <w:r>
        <w:rPr>
          <w:rFonts w:ascii="David" w:cs="David" w:eastAsia="David" w:hAnsi="David"/>
          <w:b w:val="false"/>
          <w:i/>
          <w:iCs/>
          <w:sz w:val="24"/>
          <w:szCs w:val="24"/>
          <w:rtl/>
        </w:rPr>
        <w:t xml:space="preserve">היסטוריה: כתב עת של החברה ההיסטורית הישראלית, 35</w:t>
      </w:r>
      <w:r>
        <w:rPr>
          <w:rFonts w:ascii="David" w:cs="David" w:eastAsia="David" w:hAnsi="David"/>
          <w:b w:val="false"/>
          <w:i w:val="false"/>
          <w:sz w:val="24"/>
          <w:szCs w:val="24"/>
          <w:rtl/>
        </w:rPr>
        <w:t xml:space="preserve">, 31-64.</w:t>
      </w:r>
    </w:p>
    <w:p>
      <w:pPr>
        <w:spacing w:after="120" w:line="360"/>
        <w:ind w:left="709" w:hanging="709"/>
        <w:jc w:val="left"/>
      </w:pPr>
      <w:r>
        <w:rPr>
          <w:rFonts w:ascii="Times New Roman" w:cs="Times New Roman" w:eastAsia="Times New Roman" w:hAnsi="Times New Roman"/>
          <w:b w:val="false"/>
          <w:bCs w:val="false"/>
          <w:i w:val="false"/>
          <w:iCs w:val="false"/>
          <w:sz w:val="24"/>
          <w:szCs w:val="24"/>
        </w:rPr>
        <w:t xml:space="preserve">Bulliet, R. W. (1979). </w:t>
      </w:r>
      <w:r>
        <w:rPr>
          <w:rFonts w:ascii="Times New Roman" w:cs="Times New Roman" w:eastAsia="Times New Roman" w:hAnsi="Times New Roman"/>
          <w:b w:val="false"/>
          <w:bCs w:val="false"/>
          <w:i/>
          <w:iCs/>
          <w:sz w:val="24"/>
          <w:szCs w:val="24"/>
        </w:rPr>
        <w:t xml:space="preserve">Conversion to Islam in the medieval period: An essay in quantitative history</w:t>
      </w:r>
      <w:r>
        <w:rPr>
          <w:rFonts w:ascii="Times New Roman" w:cs="Times New Roman" w:eastAsia="Times New Roman" w:hAnsi="Times New Roman"/>
          <w:b w:val="false"/>
          <w:bCs w:val="false"/>
          <w:i w:val="false"/>
          <w:iCs w:val="false"/>
          <w:sz w:val="24"/>
          <w:szCs w:val="24"/>
        </w:rPr>
        <w:t xml:space="preserve">. Harvard University Press.</w:t>
      </w:r>
    </w:p>
    <w:p>
      <w:pPr>
        <w:spacing w:after="120" w:line="360"/>
        <w:ind w:left="709" w:hanging="709"/>
        <w:jc w:val="left"/>
      </w:pPr>
      <w:r>
        <w:rPr>
          <w:rFonts w:ascii="Times New Roman" w:cs="Times New Roman" w:eastAsia="Times New Roman" w:hAnsi="Times New Roman"/>
          <w:b w:val="false"/>
          <w:bCs w:val="false"/>
          <w:i w:val="false"/>
          <w:iCs w:val="false"/>
          <w:sz w:val="24"/>
          <w:szCs w:val="24"/>
        </w:rPr>
        <w:t xml:space="preserve">Hurvitz, N., Sahner, C. C., Simonsohn, U., &amp; Yarbrough, L. (Eds.). (2020). </w:t>
      </w:r>
      <w:r>
        <w:rPr>
          <w:rFonts w:ascii="Times New Roman" w:cs="Times New Roman" w:eastAsia="Times New Roman" w:hAnsi="Times New Roman"/>
          <w:b w:val="false"/>
          <w:bCs w:val="false"/>
          <w:i/>
          <w:iCs/>
          <w:sz w:val="24"/>
          <w:szCs w:val="24"/>
        </w:rPr>
        <w:t xml:space="preserve">Conversion to Islam in the premodern age: A sourcebook</w:t>
      </w:r>
      <w:r>
        <w:rPr>
          <w:rFonts w:ascii="Times New Roman" w:cs="Times New Roman" w:eastAsia="Times New Roman" w:hAnsi="Times New Roman"/>
          <w:b w:val="false"/>
          <w:bCs w:val="false"/>
          <w:i w:val="false"/>
          <w:iCs w:val="false"/>
          <w:sz w:val="24"/>
          <w:szCs w:val="24"/>
        </w:rPr>
        <w:t xml:space="preserve">. University of California Press.</w:t>
      </w:r>
    </w:p>
    <w:p>
      <w:pPr>
        <w:spacing w:after="120" w:line="360"/>
        <w:ind w:left="709" w:hanging="709"/>
        <w:jc w:val="left"/>
      </w:pPr>
      <w:r>
        <w:rPr>
          <w:rFonts w:ascii="Times New Roman" w:cs="Times New Roman" w:eastAsia="Times New Roman" w:hAnsi="Times New Roman"/>
          <w:b w:val="false"/>
          <w:bCs w:val="false"/>
          <w:i w:val="false"/>
          <w:iCs w:val="false"/>
          <w:sz w:val="24"/>
          <w:szCs w:val="24"/>
        </w:rPr>
        <w:t xml:space="preserve">Peacock, A. C. S. (Ed.). (2017). </w:t>
      </w:r>
      <w:r>
        <w:rPr>
          <w:rFonts w:ascii="Times New Roman" w:cs="Times New Roman" w:eastAsia="Times New Roman" w:hAnsi="Times New Roman"/>
          <w:b w:val="false"/>
          <w:bCs w:val="false"/>
          <w:i/>
          <w:iCs/>
          <w:sz w:val="24"/>
          <w:szCs w:val="24"/>
        </w:rPr>
        <w:t xml:space="preserve">Islamisation: Comparative perspectives from history</w:t>
      </w:r>
      <w:r>
        <w:rPr>
          <w:rFonts w:ascii="Times New Roman" w:cs="Times New Roman" w:eastAsia="Times New Roman" w:hAnsi="Times New Roman"/>
          <w:b w:val="false"/>
          <w:bCs w:val="false"/>
          <w:i w:val="false"/>
          <w:iCs w:val="false"/>
          <w:sz w:val="24"/>
          <w:szCs w:val="24"/>
        </w:rPr>
        <w:t xml:space="preserve">. Edinburgh University Press.</w:t>
      </w:r>
    </w:p>
    <w:p>
      <w:pPr>
        <w:spacing w:after="120" w:line="360"/>
        <w:ind w:left="709" w:hanging="709"/>
        <w:jc w:val="left"/>
      </w:pPr>
      <w:r>
        <w:rPr>
          <w:rFonts w:ascii="Times New Roman" w:cs="Times New Roman" w:eastAsia="Times New Roman" w:hAnsi="Times New Roman"/>
          <w:b w:val="false"/>
          <w:bCs w:val="false"/>
          <w:i w:val="false"/>
          <w:iCs w:val="false"/>
          <w:sz w:val="24"/>
          <w:szCs w:val="24"/>
        </w:rPr>
        <w:t xml:space="preserve">Safran, J. M. (2001). Identity and differentiation in ninth-century al-Andalus. </w:t>
      </w:r>
      <w:r>
        <w:rPr>
          <w:rFonts w:ascii="Times New Roman" w:cs="Times New Roman" w:eastAsia="Times New Roman" w:hAnsi="Times New Roman"/>
          <w:b w:val="false"/>
          <w:bCs w:val="false"/>
          <w:i/>
          <w:iCs/>
          <w:sz w:val="24"/>
          <w:szCs w:val="24"/>
        </w:rPr>
        <w:t xml:space="preserve">Speculum, 76</w:t>
      </w:r>
      <w:r>
        <w:rPr>
          <w:rFonts w:ascii="Times New Roman" w:cs="Times New Roman" w:eastAsia="Times New Roman" w:hAnsi="Times New Roman"/>
          <w:b w:val="false"/>
          <w:bCs w:val="false"/>
          <w:i w:val="false"/>
          <w:iCs w:val="false"/>
          <w:sz w:val="24"/>
          <w:szCs w:val="24"/>
        </w:rPr>
        <w:t xml:space="preserve">(3), 573-598.</w:t>
      </w:r>
    </w:p>
    <w:p>
      <w:pPr>
        <w:spacing w:after="120" w:line="360"/>
        <w:ind w:left="709" w:hanging="709"/>
        <w:jc w:val="left"/>
      </w:pPr>
      <w:r>
        <w:rPr>
          <w:rFonts w:ascii="Times New Roman" w:cs="Times New Roman" w:eastAsia="Times New Roman" w:hAnsi="Times New Roman"/>
          <w:b w:val="false"/>
          <w:bCs w:val="false"/>
          <w:i w:val="false"/>
          <w:iCs w:val="false"/>
          <w:sz w:val="24"/>
          <w:szCs w:val="24"/>
        </w:rPr>
        <w:t xml:space="preserve">Sahner, C. C. (2018). </w:t>
      </w:r>
      <w:r>
        <w:rPr>
          <w:rFonts w:ascii="Times New Roman" w:cs="Times New Roman" w:eastAsia="Times New Roman" w:hAnsi="Times New Roman"/>
          <w:b w:val="false"/>
          <w:bCs w:val="false"/>
          <w:i/>
          <w:iCs/>
          <w:sz w:val="24"/>
          <w:szCs w:val="24"/>
        </w:rPr>
        <w:t xml:space="preserve">Christian martyrs under Islam: Religious violence and the making of the Muslim world</w:t>
      </w:r>
      <w:r>
        <w:rPr>
          <w:rFonts w:ascii="Times New Roman" w:cs="Times New Roman" w:eastAsia="Times New Roman" w:hAnsi="Times New Roman"/>
          <w:b w:val="false"/>
          <w:bCs w:val="false"/>
          <w:i w:val="false"/>
          <w:iCs w:val="false"/>
          <w:sz w:val="24"/>
          <w:szCs w:val="24"/>
        </w:rPr>
        <w:t xml:space="preserve">. Princeton University Press.</w:t>
      </w:r>
    </w:p>
    <w:p>
      <w:pPr>
        <w:spacing w:after="120" w:line="360"/>
        <w:ind w:left="709" w:hanging="709"/>
        <w:jc w:val="left"/>
      </w:pPr>
      <w:r>
        <w:rPr>
          <w:rFonts w:ascii="Times New Roman" w:cs="Times New Roman" w:eastAsia="Times New Roman" w:hAnsi="Times New Roman"/>
          <w:b w:val="false"/>
          <w:bCs w:val="false"/>
          <w:i w:val="false"/>
          <w:iCs w:val="false"/>
          <w:sz w:val="24"/>
          <w:szCs w:val="24"/>
        </w:rPr>
        <w:t xml:space="preserve">Simonsohn, U. (2017). Conversion, exemption, and manipulation: Social benefits and conversion to Islam in late antiquity and the Middle Ages. </w:t>
      </w:r>
      <w:r>
        <w:rPr>
          <w:rFonts w:ascii="Times New Roman" w:cs="Times New Roman" w:eastAsia="Times New Roman" w:hAnsi="Times New Roman"/>
          <w:b w:val="false"/>
          <w:bCs w:val="false"/>
          <w:i/>
          <w:iCs/>
          <w:sz w:val="24"/>
          <w:szCs w:val="24"/>
        </w:rPr>
        <w:t xml:space="preserve">Medieval Worlds, 6</w:t>
      </w:r>
      <w:r>
        <w:rPr>
          <w:rFonts w:ascii="Times New Roman" w:cs="Times New Roman" w:eastAsia="Times New Roman" w:hAnsi="Times New Roman"/>
          <w:b w:val="false"/>
          <w:bCs w:val="false"/>
          <w:i w:val="false"/>
          <w:iCs w:val="false"/>
          <w:sz w:val="24"/>
          <w:szCs w:val="24"/>
        </w:rPr>
        <w:t xml:space="preserve">. https://www.medievalworlds.net</w:t>
      </w:r>
    </w:p>
    <w:p>
      <w:pPr>
        <w:spacing w:after="120" w:line="360"/>
        <w:ind w:left="709" w:hanging="709"/>
        <w:jc w:val="left"/>
      </w:pPr>
      <w:r>
        <w:rPr>
          <w:rFonts w:ascii="Times New Roman" w:cs="Times New Roman" w:eastAsia="Times New Roman" w:hAnsi="Times New Roman"/>
          <w:b w:val="false"/>
          <w:bCs w:val="false"/>
          <w:i w:val="false"/>
          <w:iCs w:val="false"/>
          <w:sz w:val="24"/>
          <w:szCs w:val="24"/>
        </w:rPr>
        <w:t xml:space="preserve">Yagur, M. (2023). Excommunication and apostasy: Re-drawing Jewish communal boundaries in Fatimid and Ayyubid Egypt. </w:t>
      </w:r>
      <w:r>
        <w:rPr>
          <w:rFonts w:ascii="Times New Roman" w:cs="Times New Roman" w:eastAsia="Times New Roman" w:hAnsi="Times New Roman"/>
          <w:b w:val="false"/>
          <w:bCs w:val="false"/>
          <w:i/>
          <w:iCs/>
          <w:sz w:val="24"/>
          <w:szCs w:val="24"/>
        </w:rPr>
        <w:t xml:space="preserve">Al-Masaq, 35</w:t>
      </w:r>
      <w:r>
        <w:rPr>
          <w:rFonts w:ascii="Times New Roman" w:cs="Times New Roman" w:eastAsia="Times New Roman" w:hAnsi="Times New Roman"/>
          <w:b w:val="false"/>
          <w:bCs w:val="false"/>
          <w:i w:val="false"/>
          <w:iCs w:val="false"/>
          <w:sz w:val="24"/>
          <w:szCs w:val="24"/>
        </w:rPr>
        <w:t xml:space="preserve">(1). https://doi.org/10.1080/09503110.2022.2118501</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2026-08-24T08:06:40.073Z</dcterms:created>
  <dcterms:modified xsi:type="dcterms:W3CDTF">2026-08-24T08:06:40.104Z</dcterms:modified>
</cp:coreProperties>
</file>

<file path=docProps/custom.xml><?xml version="1.0" encoding="utf-8"?>
<Properties xmlns="http://schemas.openxmlformats.org/officeDocument/2006/custom-properties" xmlns:vt="http://schemas.openxmlformats.org/officeDocument/2006/docPropsVTypes"/>
</file>