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sz w:val="30"/>
          <w:szCs w:val="34"/>
          <w:rtl/>
          <w:lang w:val="en-US" w:bidi="ar-SA"/>
        </w:rPr>
        <w:t xml:space="preserve">[اسم الكلية / الجامعة]</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البرنامج / القسم]</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المساق ورقمه]</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المحاضر/ة]</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400" w:before="400" w:line="480"/>
        <w:jc w:val="center"/>
      </w:pPr>
      <w:r>
        <w:rPr>
          <w:rFonts w:ascii="Times New Roman" w:cs="Simplified Arabic" w:eastAsia="Times New Roman" w:hAnsi="Times New Roman"/>
          <w:b/>
          <w:bCs/>
          <w:sz w:val="36"/>
          <w:szCs w:val="40"/>
          <w:rtl/>
          <w:lang w:val="en-US" w:bidi="ar-SA"/>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sz w:val="26"/>
          <w:szCs w:val="30"/>
          <w:rtl/>
          <w:lang w:val="en-US" w:bidi="ar-SA"/>
        </w:rPr>
        <w:t xml:space="preserve">بحث سمينار</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إعداد الطالبة: [الاسم الكامل]</w:t>
      </w:r>
    </w:p>
    <w:p>
      <w:pPr>
        <w:bidi/>
        <w:spacing w:after="200" w:before="0" w:line="480"/>
        <w:jc w:val="center"/>
      </w:pPr>
      <w:r>
        <w:rPr>
          <w:rFonts w:ascii="Times New Roman" w:cs="Simplified Arabic" w:eastAsia="Times New Roman" w:hAnsi="Times New Roman"/>
          <w:b w:val="false"/>
          <w:sz w:val="26"/>
          <w:szCs w:val="30"/>
          <w:rtl/>
          <w:lang w:val="en-US" w:bidi="ar-SA"/>
        </w:rPr>
        <w:t xml:space="preserve">رقم الهوية: [الرقم]</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sz w:val="36"/>
          <w:szCs w:val="40"/>
          <w:rtl/>
          <w:lang w:val="en-US" w:bidi="ar-SA"/>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الملخص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الكلمات المفتاحية:</w:t>
      </w:r>
      <w:r>
        <w:rPr>
          <w:rFonts w:ascii="Times New Roman" w:cs="Simplified Arabic" w:eastAsia="Times New Roman" w:hAnsi="Times New Roman"/>
          <w:b w:val="false"/>
          <w:i w:val="false"/>
          <w:iCs w:val="false"/>
          <w:sz w:val="24"/>
          <w:szCs w:val="28"/>
          <w:rtl/>
          <w:lang w:val="en-US" w:bidi="ar-SA"/>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المقدمة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تنطلق هذه الدراسة من فكرة قديمة وحديثة معاً. قديمة لأن بياجيه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المراجعة المنهجية التي أجراها دان وآخرون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الولايات المتحدة، أجرت فازو وسكرايد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الصورة ليست إيجابية على نحو مطلق. أجرت سيفاويا وآخرون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تكاد الأدبيات تجمع على أن الأثر الأوضح والأسرع للألعاب في تعليم الرياضيات هو الأثر الدافعي. صنف حسين وآخرون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ونمر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ونمر،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أسئلة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منهجية البحث</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منهج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أداة البحث</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مسار البحث وأخلاقيات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تحليل البيانات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حُللت البيانات بأسلوب التحليل الموضوعي وفق الخطوات الست التي وصفتها براون وكلارك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 "اللعبة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 "عندما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بقاء أثر التعلم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 "الذي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رأت فيه المشاركات الفرق الأكثر دلالة هو نوع الأسئلة. تقول منال: "في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تؤيد هذه النتائج تأييداً كاملاً الافتراض الأساسي لنظرية المعرفة المجسدة كما صاغها أبراهامسون وليندغرين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حدود التبسيط التي حددتها المعلمات مع ملاحظة حسين وآخرين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تتسق هذه النتائج مع الاتجاه العام في الدراسات التجريبية، ولا سيما دراسة هافه وآخرين (2018) ودراسة فازو وسكرايد (2017) ودراسة الحربي (2026)، وتتسق نتيجة بقاء أثر التعلم مع ما وجدته مافيليدي وآخرون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الأكثر إثارة للاهتمام تتعلق بالفئة الأكثر استفادة. وجدت المعلمات أن التحسن جاء من الثلثين الأدنى والأوسط، وهذا يتفق مع جوابرة ونمر (2024) في أهمية الألعاب لمتدني التحصيل، ويبدو للوهلة الأولى مخالفاً لنتيجة بيك وآخرين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يتفق الإجماع على الأثر الدافعي مع ما خلص إليه حسين وآخرون (2022) ودان وآخرون (2024) ووايت وماكوي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إسهام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محددات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Simplified Arabic" w:eastAsia="Times New Roman" w:hAnsi="Times New Roman"/>
          <w:b/>
          <w:bCs/>
          <w:i w:val="false"/>
          <w:iCs w:val="false"/>
          <w:sz w:val="24"/>
          <w:szCs w:val="28"/>
          <w:rtl/>
          <w:lang w:val="en-US" w:bidi="ar-SA"/>
        </w:rPr>
        <w:t xml:space="preserve">مجلة المناهج وطرق التدريس، 3</w:t>
      </w:r>
      <w:r>
        <w:rPr>
          <w:rFonts w:ascii="Times New Roman" w:cs="Simplified Arabic" w:eastAsia="Times New Roman" w:hAnsi="Times New Roman"/>
          <w:b w:val="false"/>
          <w:i w:val="false"/>
          <w:iCs w:val="false"/>
          <w:sz w:val="24"/>
          <w:szCs w:val="28"/>
          <w:rtl/>
          <w:lang w:val="en-US" w:bidi="ar-SA"/>
        </w:rPr>
        <w:t xml:space="preserve">(2)،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Simplified Arabic" w:eastAsia="Times New Roman" w:hAnsi="Times New Roman"/>
          <w:b/>
          <w:bCs/>
          <w:i w:val="false"/>
          <w:iCs w:val="false"/>
          <w:sz w:val="24"/>
          <w:szCs w:val="28"/>
          <w:rtl/>
          <w:lang w:val="en-US" w:bidi="ar-SA"/>
        </w:rPr>
        <w:t xml:space="preserve">مجلة الآداب والعلوم الإنسانية والاجتماعية</w:t>
      </w:r>
      <w:r>
        <w:rPr>
          <w:rFonts w:ascii="Times New Roman" w:cs="Simplified Arabic" w:eastAsia="Times New Roman" w:hAnsi="Times New Roman"/>
          <w:b w:val="false"/>
          <w:i w:val="false"/>
          <w:iCs w:val="false"/>
          <w:sz w:val="24"/>
          <w:szCs w:val="28"/>
          <w:rtl/>
          <w:lang w:val="en-US" w:bidi="ar-SA"/>
        </w:rPr>
        <w:t xml:space="preserve">.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Abrahamson, D., &amp; Lindgren, R. (2014). Embodiment and embodied design. In R. K. Sawyer (Ed.), </w:t>
      </w:r>
      <w:r>
        <w:rPr>
          <w:rFonts w:ascii="Times New Roman" w:cs="Simplified Arabic" w:eastAsia="Times New Roman" w:hAnsi="Times New Roman"/>
          <w:b w:val="false"/>
          <w:i/>
          <w:iCs/>
          <w:sz w:val="24"/>
          <w:szCs w:val="28"/>
          <w:rtl w:val="false"/>
          <w:lang w:val="en-US" w:bidi="ar-SA"/>
        </w:rPr>
        <w:t xml:space="preserve">The Cambridge handbook of the learning sciences</w:t>
      </w:r>
      <w:r>
        <w:rPr>
          <w:rFonts w:ascii="Times New Roman" w:cs="Simplified Arabic" w:eastAsia="Times New Roman" w:hAnsi="Times New Roman"/>
          <w:b w:val="false"/>
          <w:i w:val="false"/>
          <w:iCs w:val="false"/>
          <w:sz w:val="24"/>
          <w:szCs w:val="28"/>
          <w:rtl w:val="false"/>
          <w:lang w:val="en-US" w:bidi="ar-SA"/>
        </w:rPr>
        <w:t xml:space="preserve">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Beck, M. M., Lind, R. R., Geertsen, S. S., Ritz, C., Lundbye-Jensen, J., &amp; Wienecke, J. (2016). Motor-enriched learning activities can improve mathematical performance in preadolescent children. </w:t>
      </w:r>
      <w:r>
        <w:rPr>
          <w:rFonts w:ascii="Times New Roman" w:cs="Simplified Arabic" w:eastAsia="Times New Roman" w:hAnsi="Times New Roman"/>
          <w:b w:val="false"/>
          <w:i/>
          <w:iCs/>
          <w:sz w:val="24"/>
          <w:szCs w:val="28"/>
          <w:rtl w:val="false"/>
          <w:lang w:val="en-US" w:bidi="ar-SA"/>
        </w:rPr>
        <w:t xml:space="preserve">Frontiers in Human Neuroscience, 10</w:t>
      </w:r>
      <w:r>
        <w:rPr>
          <w:rFonts w:ascii="Times New Roman" w:cs="Simplified Arabic" w:eastAsia="Times New Roman" w:hAnsi="Times New Roman"/>
          <w:b w:val="false"/>
          <w:i w:val="false"/>
          <w:iCs w:val="false"/>
          <w:sz w:val="24"/>
          <w:szCs w:val="28"/>
          <w:rtl w:val="false"/>
          <w:lang w:val="en-US" w:bidi="ar-SA"/>
        </w:rPr>
        <w:t xml:space="preserve">,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Braun, V., &amp; Clarke, V. (2006). Using thematic analysis in psychology. </w:t>
      </w:r>
      <w:r>
        <w:rPr>
          <w:rFonts w:ascii="Times New Roman" w:cs="Simplified Arabic" w:eastAsia="Times New Roman" w:hAnsi="Times New Roman"/>
          <w:b w:val="false"/>
          <w:i/>
          <w:iCs/>
          <w:sz w:val="24"/>
          <w:szCs w:val="28"/>
          <w:rtl w:val="false"/>
          <w:lang w:val="en-US" w:bidi="ar-SA"/>
        </w:rPr>
        <w:t xml:space="preserve">Qualitative Research in Psychology, 3</w:t>
      </w:r>
      <w:r>
        <w:rPr>
          <w:rFonts w:ascii="Times New Roman" w:cs="Simplified Arabic" w:eastAsia="Times New Roman" w:hAnsi="Times New Roman"/>
          <w:b w:val="false"/>
          <w:i w:val="false"/>
          <w:iCs w:val="false"/>
          <w:sz w:val="24"/>
          <w:szCs w:val="28"/>
          <w:rtl w:val="false"/>
          <w:lang w:val="en-US" w:bidi="ar-SA"/>
        </w:rPr>
        <w:t xml:space="preserve">(2),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Bruner, J. S. (1966). </w:t>
      </w:r>
      <w:r>
        <w:rPr>
          <w:rFonts w:ascii="Times New Roman" w:cs="Simplified Arabic" w:eastAsia="Times New Roman" w:hAnsi="Times New Roman"/>
          <w:b w:val="false"/>
          <w:i/>
          <w:iCs/>
          <w:sz w:val="24"/>
          <w:szCs w:val="28"/>
          <w:rtl w:val="false"/>
          <w:lang w:val="en-US" w:bidi="ar-SA"/>
        </w:rPr>
        <w:t xml:space="preserve">Toward a theory of instruction</w:t>
      </w:r>
      <w:r>
        <w:rPr>
          <w:rFonts w:ascii="Times New Roman" w:cs="Simplified Arabic" w:eastAsia="Times New Roman" w:hAnsi="Times New Roman"/>
          <w:b w:val="false"/>
          <w:i w:val="false"/>
          <w:iCs w:val="false"/>
          <w:sz w:val="24"/>
          <w:szCs w:val="28"/>
          <w:rtl w:val="false"/>
          <w:lang w:val="en-US" w:bidi="ar-SA"/>
        </w:rPr>
        <w:t xml:space="preserve">.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Byun, J., &amp; Joung, E. (2018). Digital game-based learning for K-12 mathematics education: A meta-analysis. </w:t>
      </w:r>
      <w:r>
        <w:rPr>
          <w:rFonts w:ascii="Times New Roman" w:cs="Simplified Arabic" w:eastAsia="Times New Roman" w:hAnsi="Times New Roman"/>
          <w:b w:val="false"/>
          <w:i/>
          <w:iCs/>
          <w:sz w:val="24"/>
          <w:szCs w:val="28"/>
          <w:rtl w:val="false"/>
          <w:lang w:val="en-US" w:bidi="ar-SA"/>
        </w:rPr>
        <w:t xml:space="preserve">School Science and Mathematics, 118</w:t>
      </w:r>
      <w:r>
        <w:rPr>
          <w:rFonts w:ascii="Times New Roman" w:cs="Simplified Arabic" w:eastAsia="Times New Roman" w:hAnsi="Times New Roman"/>
          <w:b w:val="false"/>
          <w:i w:val="false"/>
          <w:iCs w:val="false"/>
          <w:sz w:val="24"/>
          <w:szCs w:val="28"/>
          <w:rtl w:val="false"/>
          <w:lang w:val="en-US" w:bidi="ar-SA"/>
        </w:rPr>
        <w:t xml:space="preserve">(3-4),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Creswell, J. W. (2013). </w:t>
      </w:r>
      <w:r>
        <w:rPr>
          <w:rFonts w:ascii="Times New Roman" w:cs="Simplified Arabic" w:eastAsia="Times New Roman" w:hAnsi="Times New Roman"/>
          <w:b w:val="false"/>
          <w:i/>
          <w:iCs/>
          <w:sz w:val="24"/>
          <w:szCs w:val="28"/>
          <w:rtl w:val="false"/>
          <w:lang w:val="en-US" w:bidi="ar-SA"/>
        </w:rPr>
        <w:t xml:space="preserve">Qualitative inquiry and research design: Choosing among five approaches</w:t>
      </w:r>
      <w:r>
        <w:rPr>
          <w:rFonts w:ascii="Times New Roman" w:cs="Simplified Arabic" w:eastAsia="Times New Roman" w:hAnsi="Times New Roman"/>
          <w:b w:val="false"/>
          <w:i w:val="false"/>
          <w:iCs w:val="false"/>
          <w:sz w:val="24"/>
          <w:szCs w:val="28"/>
          <w:rtl w:val="false"/>
          <w:lang w:val="en-US" w:bidi="ar-SA"/>
        </w:rPr>
        <w:t xml:space="preserve"> (3rd ed.).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Dan, N. N., Trung, L. T. B. T., Nga, N. T., &amp; Dung, T. M. (2024). Digital game-based learning in mathematics education at primary school level: A systematic literature review. </w:t>
      </w:r>
      <w:r>
        <w:rPr>
          <w:rFonts w:ascii="Times New Roman" w:cs="Simplified Arabic" w:eastAsia="Times New Roman" w:hAnsi="Times New Roman"/>
          <w:b w:val="false"/>
          <w:i/>
          <w:iCs/>
          <w:sz w:val="24"/>
          <w:szCs w:val="28"/>
          <w:rtl w:val="false"/>
          <w:lang w:val="en-US" w:bidi="ar-SA"/>
        </w:rPr>
        <w:t xml:space="preserve">Eurasia Journal of Mathematics, Science and Technology Education, 20</w:t>
      </w:r>
      <w:r>
        <w:rPr>
          <w:rFonts w:ascii="Times New Roman" w:cs="Simplified Arabic" w:eastAsia="Times New Roman" w:hAnsi="Times New Roman"/>
          <w:b w:val="false"/>
          <w:i w:val="false"/>
          <w:iCs w:val="false"/>
          <w:sz w:val="24"/>
          <w:szCs w:val="28"/>
          <w:rtl w:val="false"/>
          <w:lang w:val="en-US" w:bidi="ar-SA"/>
        </w:rPr>
        <w:t xml:space="preserve">(4),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Debrenti, E. (2024). Game-based learning experiences in primary mathematics education. </w:t>
      </w:r>
      <w:r>
        <w:rPr>
          <w:rFonts w:ascii="Times New Roman" w:cs="Simplified Arabic" w:eastAsia="Times New Roman" w:hAnsi="Times New Roman"/>
          <w:b w:val="false"/>
          <w:i/>
          <w:iCs/>
          <w:sz w:val="24"/>
          <w:szCs w:val="28"/>
          <w:rtl w:val="false"/>
          <w:lang w:val="en-US" w:bidi="ar-SA"/>
        </w:rPr>
        <w:t xml:space="preserve">Frontiers in Education, 9</w:t>
      </w:r>
      <w:r>
        <w:rPr>
          <w:rFonts w:ascii="Times New Roman" w:cs="Simplified Arabic" w:eastAsia="Times New Roman" w:hAnsi="Times New Roman"/>
          <w:b w:val="false"/>
          <w:i w:val="false"/>
          <w:iCs w:val="false"/>
          <w:sz w:val="24"/>
          <w:szCs w:val="28"/>
          <w:rtl w:val="false"/>
          <w:lang w:val="en-US" w:bidi="ar-SA"/>
        </w:rPr>
        <w:t xml:space="preserve">,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Deci, E. L., &amp; Ryan, R. M. (2000). The "what" and "why" of goal pursuits: Human needs and the self-determination of behavior. </w:t>
      </w:r>
      <w:r>
        <w:rPr>
          <w:rFonts w:ascii="Times New Roman" w:cs="Simplified Arabic" w:eastAsia="Times New Roman" w:hAnsi="Times New Roman"/>
          <w:b w:val="false"/>
          <w:i/>
          <w:iCs/>
          <w:sz w:val="24"/>
          <w:szCs w:val="28"/>
          <w:rtl w:val="false"/>
          <w:lang w:val="en-US" w:bidi="ar-SA"/>
        </w:rPr>
        <w:t xml:space="preserve">Psychological Inquiry, 11</w:t>
      </w:r>
      <w:r>
        <w:rPr>
          <w:rFonts w:ascii="Times New Roman" w:cs="Simplified Arabic" w:eastAsia="Times New Roman" w:hAnsi="Times New Roman"/>
          <w:b w:val="false"/>
          <w:i w:val="false"/>
          <w:iCs w:val="false"/>
          <w:sz w:val="24"/>
          <w:szCs w:val="28"/>
          <w:rtl w:val="false"/>
          <w:lang w:val="en-US" w:bidi="ar-SA"/>
        </w:rPr>
        <w:t xml:space="preserve">(4),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Guest, G., Bunce, A., &amp; Johnson, L. (2006). How many interviews are enough? An experiment with data saturation and variability. </w:t>
      </w:r>
      <w:r>
        <w:rPr>
          <w:rFonts w:ascii="Times New Roman" w:cs="Simplified Arabic" w:eastAsia="Times New Roman" w:hAnsi="Times New Roman"/>
          <w:b w:val="false"/>
          <w:i/>
          <w:iCs/>
          <w:sz w:val="24"/>
          <w:szCs w:val="28"/>
          <w:rtl w:val="false"/>
          <w:lang w:val="en-US" w:bidi="ar-SA"/>
        </w:rPr>
        <w:t xml:space="preserve">Field Methods, 18</w:t>
      </w:r>
      <w:r>
        <w:rPr>
          <w:rFonts w:ascii="Times New Roman" w:cs="Simplified Arabic" w:eastAsia="Times New Roman" w:hAnsi="Times New Roman"/>
          <w:b w:val="false"/>
          <w:i w:val="false"/>
          <w:iCs w:val="false"/>
          <w:sz w:val="24"/>
          <w:szCs w:val="28"/>
          <w:rtl w:val="false"/>
          <w:lang w:val="en-US" w:bidi="ar-SA"/>
        </w:rPr>
        <w:t xml:space="preserve">(1),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Have, M., Nielsen, J. H., Ernst, M. T., Gejl, A. K., Fredens, K., Grøntved, A., &amp; Kristensen, P. L. (2018). Classroom-based physical activity improves children's math achievement: A randomized controlled trial. </w:t>
      </w:r>
      <w:r>
        <w:rPr>
          <w:rFonts w:ascii="Times New Roman" w:cs="Simplified Arabic" w:eastAsia="Times New Roman" w:hAnsi="Times New Roman"/>
          <w:b w:val="false"/>
          <w:i/>
          <w:iCs/>
          <w:sz w:val="24"/>
          <w:szCs w:val="28"/>
          <w:rtl w:val="false"/>
          <w:lang w:val="en-US" w:bidi="ar-SA"/>
        </w:rPr>
        <w:t xml:space="preserve">PLoS ONE, 13</w:t>
      </w:r>
      <w:r>
        <w:rPr>
          <w:rFonts w:ascii="Times New Roman" w:cs="Simplified Arabic" w:eastAsia="Times New Roman" w:hAnsi="Times New Roman"/>
          <w:b w:val="false"/>
          <w:i w:val="false"/>
          <w:iCs w:val="false"/>
          <w:sz w:val="24"/>
          <w:szCs w:val="28"/>
          <w:rtl w:val="false"/>
          <w:lang w:val="en-US" w:bidi="ar-SA"/>
        </w:rPr>
        <w:t xml:space="preserve">(12),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Hussein, M. H., Ow, S. H., Elaish, M. M., &amp; Jensen, E. O. (2022). Digital game-based learning in K-12 mathematics education: A systematic literature review. </w:t>
      </w:r>
      <w:r>
        <w:rPr>
          <w:rFonts w:ascii="Times New Roman" w:cs="Simplified Arabic" w:eastAsia="Times New Roman" w:hAnsi="Times New Roman"/>
          <w:b w:val="false"/>
          <w:i/>
          <w:iCs/>
          <w:sz w:val="24"/>
          <w:szCs w:val="28"/>
          <w:rtl w:val="false"/>
          <w:lang w:val="en-US" w:bidi="ar-SA"/>
        </w:rPr>
        <w:t xml:space="preserve">Education and Information Technologies, 27</w:t>
      </w:r>
      <w:r>
        <w:rPr>
          <w:rFonts w:ascii="Times New Roman" w:cs="Simplified Arabic" w:eastAsia="Times New Roman" w:hAnsi="Times New Roman"/>
          <w:b w:val="false"/>
          <w:i w:val="false"/>
          <w:iCs w:val="false"/>
          <w:sz w:val="24"/>
          <w:szCs w:val="28"/>
          <w:rtl w:val="false"/>
          <w:lang w:val="en-US" w:bidi="ar-SA"/>
        </w:rPr>
        <w:t xml:space="preserve">(2),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Lincoln, Y. S., &amp; Guba, E. G. (1985). </w:t>
      </w:r>
      <w:r>
        <w:rPr>
          <w:rFonts w:ascii="Times New Roman" w:cs="Simplified Arabic" w:eastAsia="Times New Roman" w:hAnsi="Times New Roman"/>
          <w:b w:val="false"/>
          <w:i/>
          <w:iCs/>
          <w:sz w:val="24"/>
          <w:szCs w:val="28"/>
          <w:rtl w:val="false"/>
          <w:lang w:val="en-US" w:bidi="ar-SA"/>
        </w:rPr>
        <w:t xml:space="preserve">Naturalistic inquiry</w:t>
      </w:r>
      <w:r>
        <w:rPr>
          <w:rFonts w:ascii="Times New Roman" w:cs="Simplified Arabic" w:eastAsia="Times New Roman" w:hAnsi="Times New Roman"/>
          <w:b w:val="false"/>
          <w:i w:val="false"/>
          <w:iCs w:val="false"/>
          <w:sz w:val="24"/>
          <w:szCs w:val="28"/>
          <w:rtl w:val="false"/>
          <w:lang w:val="en-US" w:bidi="ar-SA"/>
        </w:rPr>
        <w:t xml:space="preserve">.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Mavilidi, M. F., Okely, A., Chandler, P., Domazet, S. L., &amp; Paas, F. (2018). Immediate and delayed effects of integrating physical activity into preschool children's learning of numeracy skills. </w:t>
      </w:r>
      <w:r>
        <w:rPr>
          <w:rFonts w:ascii="Times New Roman" w:cs="Simplified Arabic" w:eastAsia="Times New Roman" w:hAnsi="Times New Roman"/>
          <w:b w:val="false"/>
          <w:i/>
          <w:iCs/>
          <w:sz w:val="24"/>
          <w:szCs w:val="28"/>
          <w:rtl w:val="false"/>
          <w:lang w:val="en-US" w:bidi="ar-SA"/>
        </w:rPr>
        <w:t xml:space="preserve">Journal of Experimental Child Psychology, 166</w:t>
      </w:r>
      <w:r>
        <w:rPr>
          <w:rFonts w:ascii="Times New Roman" w:cs="Simplified Arabic" w:eastAsia="Times New Roman" w:hAnsi="Times New Roman"/>
          <w:b w:val="false"/>
          <w:i w:val="false"/>
          <w:iCs w:val="false"/>
          <w:sz w:val="24"/>
          <w:szCs w:val="28"/>
          <w:rtl w:val="false"/>
          <w:lang w:val="en-US" w:bidi="ar-SA"/>
        </w:rPr>
        <w:t xml:space="preserve">,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Piaget, J. (1952). </w:t>
      </w:r>
      <w:r>
        <w:rPr>
          <w:rFonts w:ascii="Times New Roman" w:cs="Simplified Arabic" w:eastAsia="Times New Roman" w:hAnsi="Times New Roman"/>
          <w:b w:val="false"/>
          <w:i/>
          <w:iCs/>
          <w:sz w:val="24"/>
          <w:szCs w:val="28"/>
          <w:rtl w:val="false"/>
          <w:lang w:val="en-US" w:bidi="ar-SA"/>
        </w:rPr>
        <w:t xml:space="preserve">The origins of intelligence in children</w:t>
      </w:r>
      <w:r>
        <w:rPr>
          <w:rFonts w:ascii="Times New Roman" w:cs="Simplified Arabic" w:eastAsia="Times New Roman" w:hAnsi="Times New Roman"/>
          <w:b w:val="false"/>
          <w:i w:val="false"/>
          <w:iCs w:val="false"/>
          <w:sz w:val="24"/>
          <w:szCs w:val="28"/>
          <w:rtl w:val="false"/>
          <w:lang w:val="en-US" w:bidi="ar-SA"/>
        </w:rPr>
        <w:t xml:space="preserve">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Simplified Arabic" w:eastAsia="Times New Roman" w:hAnsi="Times New Roman"/>
          <w:b w:val="false"/>
          <w:i/>
          <w:iCs/>
          <w:sz w:val="24"/>
          <w:szCs w:val="28"/>
          <w:rtl w:val="false"/>
          <w:lang w:val="en-US" w:bidi="ar-SA"/>
        </w:rPr>
        <w:t xml:space="preserve">British Journal of Educational Psychology, 94</w:t>
      </w:r>
      <w:r>
        <w:rPr>
          <w:rFonts w:ascii="Times New Roman" w:cs="Simplified Arabic" w:eastAsia="Times New Roman" w:hAnsi="Times New Roman"/>
          <w:b w:val="false"/>
          <w:i w:val="false"/>
          <w:iCs w:val="false"/>
          <w:sz w:val="24"/>
          <w:szCs w:val="28"/>
          <w:rtl w:val="false"/>
          <w:lang w:val="en-US" w:bidi="ar-SA"/>
        </w:rPr>
        <w:t xml:space="preserve">(3),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Vazou, S., &amp; Skrade, M. A. B. (2017). Intervention integrating physical activity with math: Math performance, perceived competence, and need satisfaction. </w:t>
      </w:r>
      <w:r>
        <w:rPr>
          <w:rFonts w:ascii="Times New Roman" w:cs="Simplified Arabic" w:eastAsia="Times New Roman" w:hAnsi="Times New Roman"/>
          <w:b w:val="false"/>
          <w:i/>
          <w:iCs/>
          <w:sz w:val="24"/>
          <w:szCs w:val="28"/>
          <w:rtl w:val="false"/>
          <w:lang w:val="en-US" w:bidi="ar-SA"/>
        </w:rPr>
        <w:t xml:space="preserve">International Journal of Sport and Exercise Psychology, 15</w:t>
      </w:r>
      <w:r>
        <w:rPr>
          <w:rFonts w:ascii="Times New Roman" w:cs="Simplified Arabic" w:eastAsia="Times New Roman" w:hAnsi="Times New Roman"/>
          <w:b w:val="false"/>
          <w:i w:val="false"/>
          <w:iCs w:val="false"/>
          <w:sz w:val="24"/>
          <w:szCs w:val="28"/>
          <w:rtl w:val="false"/>
          <w:lang w:val="en-US" w:bidi="ar-SA"/>
        </w:rPr>
        <w:t xml:space="preserve">(5),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White, K., &amp; McCoy, L. P. (2019). Effects of game-based learning on attitude and achievement in elementary mathematics. </w:t>
      </w:r>
      <w:r>
        <w:rPr>
          <w:rFonts w:ascii="Times New Roman" w:cs="Simplified Arabic" w:eastAsia="Times New Roman" w:hAnsi="Times New Roman"/>
          <w:b w:val="false"/>
          <w:i/>
          <w:iCs/>
          <w:sz w:val="24"/>
          <w:szCs w:val="28"/>
          <w:rtl w:val="false"/>
          <w:lang w:val="en-US" w:bidi="ar-SA"/>
        </w:rPr>
        <w:t xml:space="preserve">Networks: An Online Journal for Teacher Research, 21</w:t>
      </w:r>
      <w:r>
        <w:rPr>
          <w:rFonts w:ascii="Times New Roman" w:cs="Simplified Arabic" w:eastAsia="Times New Roman" w:hAnsi="Times New Roman"/>
          <w:b w:val="false"/>
          <w:i w:val="false"/>
          <w:iCs w:val="false"/>
          <w:sz w:val="24"/>
          <w:szCs w:val="28"/>
          <w:rtl w:val="false"/>
          <w:lang w:val="en-US" w:bidi="ar-SA"/>
        </w:rPr>
        <w:t xml:space="preserve">(1),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Wilson, M. (2002). Six views of embodied cognition. </w:t>
      </w:r>
      <w:r>
        <w:rPr>
          <w:rFonts w:ascii="Times New Roman" w:cs="Simplified Arabic" w:eastAsia="Times New Roman" w:hAnsi="Times New Roman"/>
          <w:b w:val="false"/>
          <w:i/>
          <w:iCs/>
          <w:sz w:val="24"/>
          <w:szCs w:val="28"/>
          <w:rtl w:val="false"/>
          <w:lang w:val="en-US" w:bidi="ar-SA"/>
        </w:rPr>
        <w:t xml:space="preserve">Psychonomic Bulletin &amp; Review, 9</w:t>
      </w:r>
      <w:r>
        <w:rPr>
          <w:rFonts w:ascii="Times New Roman" w:cs="Simplified Arabic" w:eastAsia="Times New Roman" w:hAnsi="Times New Roman"/>
          <w:b w:val="false"/>
          <w:i w:val="false"/>
          <w:iCs w:val="false"/>
          <w:sz w:val="24"/>
          <w:szCs w:val="28"/>
          <w:rtl w:val="false"/>
          <w:lang w:val="en-US" w:bidi="ar-SA"/>
        </w:rPr>
        <w:t xml:space="preserve">(4),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الملاحق</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تمهيد يُقرأ للمشاركة:</w:t>
      </w:r>
      <w:r>
        <w:rPr>
          <w:rFonts w:ascii="Times New Roman" w:cs="Simplified Arabic" w:eastAsia="Times New Roman" w:hAnsi="Times New Roman"/>
          <w:b w:val="false"/>
          <w:i w:val="false"/>
          <w:iCs w:val="false"/>
          <w:sz w:val="24"/>
          <w:szCs w:val="28"/>
          <w:rtl/>
          <w:lang w:val="en-US" w:bidi="ar-SA"/>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البيانات العامة:</w:t>
      </w:r>
      <w:r>
        <w:rPr>
          <w:rFonts w:ascii="Times New Roman" w:cs="Simplified Arabic" w:eastAsia="Times New Roman" w:hAnsi="Times New Roman"/>
          <w:b w:val="false"/>
          <w:i w:val="false"/>
          <w:iCs w:val="false"/>
          <w:sz w:val="24"/>
          <w:szCs w:val="28"/>
          <w:rtl/>
          <w:lang w:val="en-US" w:bidi="ar-SA"/>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أسئلة متابعة تُستخدم حسب الحاجة:</w:t>
      </w:r>
      <w:r>
        <w:rPr>
          <w:rFonts w:ascii="Times New Roman" w:cs="Simplified Arabic" w:eastAsia="Times New Roman" w:hAnsi="Times New Roman"/>
          <w:b w:val="false"/>
          <w:i w:val="false"/>
          <w:iCs w:val="false"/>
          <w:sz w:val="24"/>
          <w:szCs w:val="28"/>
          <w:rtl/>
          <w:lang w:val="en-US" w:bidi="ar-SA"/>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lang w:val="en-US" w:bidi="ar-S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lang w:val="en-US" w:bidi="ar-SA"/>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lang w:val="en-US" w:bidi="ar-SA"/>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lang w:val="en-US" w:bidi="ar-SA"/>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lang w:val="en-US"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2026-09-14T09:16:01.730Z</dcterms:created>
  <dcterms:modified xsi:type="dcterms:W3CDTF">2026-09-14T09:16:01.731Z</dcterms:modified>
</cp:coreProperties>
</file>

<file path=docProps/custom.xml><?xml version="1.0" encoding="utf-8"?>
<Properties xmlns="http://schemas.openxmlformats.org/officeDocument/2006/custom-properties" xmlns:vt="http://schemas.openxmlformats.org/officeDocument/2006/docPropsVTypes"/>
</file>