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spacing w:before="0" w:after="120"/>
        <w:jc w:val="center"/>
      </w:pPr>
      <w:r>
        <w:rPr>
          <w:b/>
          <w:sz w:val="28"/>
          <w:rtl/>
          <w:szCs w:val="28"/>
          <w:bCs/>
        </w:rPr>
        <w:t>חלק א' – מעמדה של "קבוצת עובדי NeuroTech" ופעולות הנהלת החברה</w:t>
      </w:r>
    </w:p>
    <w:p>
      <w:pPr>
        <w:bidi/>
        <w:spacing w:before="120" w:after="0"/>
        <w:jc w:val="both"/>
      </w:pPr>
      <w:r>
        <w:rPr>
          <w:b/>
          <w:sz w:val="24"/>
          <w:rtl/>
          <w:szCs w:val="24"/>
          <w:bCs/>
        </w:rPr>
        <w:t>1. המסגרת הנורמטיבית: מהו "ארגון עובדים"</w:t>
      </w:r>
    </w:p>
    <w:p>
      <w:pPr>
        <w:bidi/>
        <w:spacing w:before="0" w:after="0"/>
        <w:jc w:val="both"/>
      </w:pPr>
      <w:r>
        <w:rPr>
          <w:sz w:val="24"/>
          <w:rtl/>
          <w:szCs w:val="24"/>
        </w:rPr>
        <w:t>חופש ההתאגדות מוכר במשפט הישראלי כזכות יסוד הנגזרת מ</w:t>
      </w:r>
      <w:r>
        <w:rPr>
          <w:b/>
          <w:sz w:val="24"/>
          <w:rtl/>
          <w:szCs w:val="24"/>
          <w:bCs/>
        </w:rPr>
        <w:t>חוק יסוד: כבוד האדם וחירותו</w:t>
      </w:r>
      <w:r>
        <w:rPr>
          <w:sz w:val="24"/>
          <w:rtl/>
          <w:szCs w:val="24"/>
        </w:rPr>
        <w:t xml:space="preserve">, ומעוגן גם באמנות </w:t>
      </w:r>
      <w:r>
        <w:rPr>
          <w:b/>
          <w:sz w:val="24"/>
          <w:rtl/>
          <w:szCs w:val="24"/>
          <w:bCs/>
        </w:rPr>
        <w:t>ארגון העבודה הבינלאומי מס' 87 ומס' 98</w:t>
      </w:r>
      <w:r>
        <w:rPr>
          <w:sz w:val="24"/>
          <w:rtl/>
          <w:szCs w:val="24"/>
        </w:rPr>
        <w:t xml:space="preserve"> שישראל אשררה. </w:t>
      </w:r>
      <w:r>
        <w:rPr>
          <w:b/>
          <w:sz w:val="24"/>
          <w:rtl/>
          <w:szCs w:val="24"/>
          <w:bCs/>
        </w:rPr>
        <w:t>חוק הסכמים קיבוציים, התשי"ז-1957</w:t>
      </w:r>
      <w:r>
        <w:rPr>
          <w:sz w:val="24"/>
          <w:rtl/>
          <w:szCs w:val="24"/>
        </w:rPr>
        <w:t xml:space="preserve"> מעניק לארגון העובדים מעמד מרכזי: רק ארגון עובדים רשאי להיות צד להסכם קיבוצי, ורק ארגון עובדים שמאורגנים בו המספר הגדול ביותר של העובדים, ובלבד שאינו פחות משליש מהם, ייחשב </w:t>
      </w:r>
      <w:r>
        <w:rPr>
          <w:b/>
          <w:sz w:val="24"/>
          <w:rtl/>
          <w:szCs w:val="24"/>
          <w:bCs/>
        </w:rPr>
        <w:t>ארגון יציג</w:t>
      </w:r>
      <w:r>
        <w:rPr>
          <w:sz w:val="24"/>
          <w:rtl/>
          <w:szCs w:val="24"/>
        </w:rPr>
        <w:t xml:space="preserve"> (</w:t>
      </w:r>
      <w:r>
        <w:rPr>
          <w:b/>
          <w:sz w:val="24"/>
          <w:rtl/>
          <w:szCs w:val="24"/>
          <w:bCs/>
        </w:rPr>
        <w:t>סעיף 3 לחוק</w:t>
      </w:r>
      <w:r>
        <w:rPr>
          <w:sz w:val="24"/>
          <w:rtl/>
          <w:szCs w:val="24"/>
        </w:rPr>
        <w:t xml:space="preserve">). עם זאת, החוק אינו מגדיר מהו "ארגון עובדים", ולכן נקבעו המבחנים בפסיקת בית הדין הארצי לעבודה (בין היתר בפרשת </w:t>
      </w:r>
      <w:r>
        <w:rPr>
          <w:b/>
          <w:sz w:val="24"/>
          <w:rtl/>
          <w:szCs w:val="24"/>
          <w:bCs/>
        </w:rPr>
        <w:t>ההסתדרות הלאומית</w:t>
      </w:r>
      <w:r>
        <w:rPr>
          <w:sz w:val="24"/>
          <w:rtl/>
          <w:szCs w:val="24"/>
        </w:rPr>
        <w:t xml:space="preserve"> ובפרשת </w:t>
      </w:r>
      <w:r>
        <w:rPr>
          <w:b/>
          <w:sz w:val="24"/>
          <w:rtl/>
          <w:szCs w:val="24"/>
          <w:bCs/>
        </w:rPr>
        <w:t>כוח לעובדים</w:t>
      </w:r>
      <w:r>
        <w:rPr>
          <w:sz w:val="24"/>
          <w:rtl/>
          <w:szCs w:val="24"/>
        </w:rPr>
        <w:t>).</w:t>
      </w:r>
    </w:p>
    <w:p>
      <w:pPr>
        <w:bidi/>
        <w:spacing w:before="0" w:after="0"/>
        <w:jc w:val="both"/>
      </w:pPr>
      <w:r>
        <w:rPr>
          <w:sz w:val="24"/>
          <w:rtl/>
          <w:szCs w:val="24"/>
        </w:rPr>
        <w:t xml:space="preserve">לפי מבחנים אלה, גוף ייחשב ארגון עובדים אם מתקיימים בו, בין היתר: </w:t>
      </w:r>
      <w:r>
        <w:rPr>
          <w:b/>
          <w:sz w:val="24"/>
          <w:rtl/>
          <w:szCs w:val="24"/>
          <w:bCs/>
        </w:rPr>
        <w:t>(א) מטרה עיקרית</w:t>
      </w:r>
      <w:r>
        <w:rPr>
          <w:sz w:val="24"/>
          <w:rtl/>
          <w:szCs w:val="24"/>
        </w:rPr>
        <w:t xml:space="preserve"> של קידום ענייניהם של העובדים כעובדים, ובראש ובעונה אחת ניהול משא ומתן קיבוצי על תנאי עבודתם; </w:t>
      </w:r>
      <w:r>
        <w:rPr>
          <w:b/>
          <w:sz w:val="24"/>
          <w:rtl/>
          <w:szCs w:val="24"/>
          <w:bCs/>
        </w:rPr>
        <w:t>(ב) קביעות</w:t>
      </w:r>
      <w:r>
        <w:rPr>
          <w:sz w:val="24"/>
          <w:rtl/>
          <w:szCs w:val="24"/>
        </w:rPr>
        <w:t xml:space="preserve"> ומבנה ארגוני שאינו אד-הוק; </w:t>
      </w:r>
      <w:r>
        <w:rPr>
          <w:b/>
          <w:sz w:val="24"/>
          <w:rtl/>
          <w:szCs w:val="24"/>
          <w:bCs/>
        </w:rPr>
        <w:t>(ג) וולונטריות</w:t>
      </w:r>
      <w:r>
        <w:rPr>
          <w:sz w:val="24"/>
          <w:rtl/>
          <w:szCs w:val="24"/>
        </w:rPr>
        <w:t xml:space="preserve">, כלומר חברות מרצון; </w:t>
      </w:r>
      <w:r>
        <w:rPr>
          <w:b/>
          <w:sz w:val="24"/>
          <w:rtl/>
          <w:szCs w:val="24"/>
          <w:bCs/>
        </w:rPr>
        <w:t>(ד) דמוקרטיה פנימית</w:t>
      </w:r>
      <w:r>
        <w:rPr>
          <w:sz w:val="24"/>
          <w:rtl/>
          <w:szCs w:val="24"/>
        </w:rPr>
        <w:t>; ו-</w:t>
      </w:r>
      <w:r>
        <w:rPr>
          <w:b/>
          <w:sz w:val="24"/>
          <w:rtl/>
          <w:szCs w:val="24"/>
          <w:bCs/>
        </w:rPr>
        <w:t>(ה) עצמאות ואי-תלות במעסיק</w:t>
      </w:r>
      <w:r>
        <w:rPr>
          <w:sz w:val="24"/>
          <w:rtl/>
          <w:szCs w:val="24"/>
        </w:rPr>
        <w:t xml:space="preserve">. הדרישה האחרונה נובעת מן ההיגיון של המשפט הקיבוצי כולו: ארגון העובדים נועד לאזן את פערי הכוחות המובנים ביחסי העבודה, ולכן גוף הנשען על המעסיק או משרת את ענייניו אינו יכול למלא תפקיד זה. </w:t>
      </w:r>
      <w:r>
        <w:rPr>
          <w:b/>
          <w:sz w:val="24"/>
          <w:rtl/>
          <w:szCs w:val="24"/>
          <w:bCs/>
        </w:rPr>
        <w:t>סעיף 2 לאמנה 98</w:t>
      </w:r>
      <w:r>
        <w:rPr>
          <w:sz w:val="24"/>
          <w:rtl/>
          <w:szCs w:val="24"/>
        </w:rPr>
        <w:t xml:space="preserve"> אף אוסר במפורש על מעסיק לתמוך בארגון עובדים או לשלוט בו, תופעה המכונה בספרות "ועד מטעם" (company union).</w:t>
      </w:r>
    </w:p>
    <w:p>
      <w:pPr>
        <w:bidi/>
        <w:spacing w:before="120" w:after="0"/>
        <w:jc w:val="both"/>
      </w:pPr>
      <w:r>
        <w:rPr>
          <w:b/>
          <w:sz w:val="24"/>
          <w:rtl/>
          <w:szCs w:val="24"/>
          <w:bCs/>
        </w:rPr>
        <w:t>2. האם הקבוצה היא ארגון עובדים?</w:t>
      </w:r>
    </w:p>
    <w:p>
      <w:pPr>
        <w:bidi/>
        <w:spacing w:before="0" w:after="0"/>
        <w:jc w:val="both"/>
      </w:pPr>
      <w:r>
        <w:rPr>
          <w:sz w:val="24"/>
          <w:rtl/>
          <w:szCs w:val="24"/>
        </w:rPr>
        <w:t>בחינה מהותית של הקבוצה, ולא רק של לשון תקנונה, מובילה למסקנה שהיא אינה עומדת במבחני הפסיקה.</w:t>
      </w:r>
    </w:p>
    <w:p>
      <w:pPr>
        <w:bidi/>
        <w:spacing w:before="0" w:after="0"/>
        <w:jc w:val="both"/>
      </w:pPr>
      <w:r>
        <w:rPr>
          <w:b/>
          <w:sz w:val="24"/>
          <w:rtl/>
          <w:szCs w:val="24"/>
          <w:bCs/>
        </w:rPr>
        <w:t>ראשית, מבחן המטרה העיקרית.</w:t>
      </w:r>
      <w:r>
        <w:rPr>
          <w:sz w:val="24"/>
          <w:rtl/>
          <w:szCs w:val="24"/>
        </w:rPr>
        <w:t xml:space="preserve"> אמנם בסעיף הסמכויות בתקנון נקבע כי הקבוצה מוסמכת לנהל משא ומתן, לחתום על הסכמים קיבוציים ולהכריז על סכסוך עבודה, אך סעיף המטרות מלמד על כוונה הפוכה. </w:t>
      </w:r>
      <w:r>
        <w:rPr>
          <w:b/>
          <w:sz w:val="24"/>
          <w:rtl/>
          <w:szCs w:val="24"/>
          <w:bCs/>
        </w:rPr>
        <w:t>מטרה ד'</w:t>
      </w:r>
      <w:r>
        <w:rPr>
          <w:sz w:val="24"/>
          <w:rtl/>
          <w:szCs w:val="24"/>
        </w:rPr>
        <w:t xml:space="preserve">, שמירת יכולתו של כל עובד לנהל באופן אישי את שכרו, הבונוסים והאופציות, מוציאה מתחום הפעולה הקיבוצית את ליבת תנאי העבודה. ארגון שמראש מוותר על ייצוג קיבוצי בענייני שכר אינו מבקש לתקן את פערי הכוחות בין העובד היחיד למעסיק, אלא לשמר אותם. גם </w:t>
      </w:r>
      <w:r>
        <w:rPr>
          <w:b/>
          <w:sz w:val="24"/>
          <w:rtl/>
          <w:szCs w:val="24"/>
          <w:bCs/>
        </w:rPr>
        <w:t>מטרה ב'</w:t>
      </w:r>
      <w:r>
        <w:rPr>
          <w:sz w:val="24"/>
          <w:rtl/>
          <w:szCs w:val="24"/>
        </w:rPr>
        <w:t>, שמירה על יציבות החברה ועל פעילותה בישראל, היא אינטרס מובהק של המעסיק, וההודעה לעובדים מדגישה "שיתוף פעולה" עם ההנהלה יותר מאשר ייצוג אינטרסים מנוגדים.</w:t>
      </w:r>
    </w:p>
    <w:p>
      <w:pPr>
        <w:bidi/>
        <w:spacing w:before="0" w:after="0"/>
        <w:jc w:val="both"/>
      </w:pPr>
      <w:r>
        <w:rPr>
          <w:b/>
          <w:sz w:val="24"/>
          <w:rtl/>
          <w:szCs w:val="24"/>
          <w:bCs/>
        </w:rPr>
        <w:t>שנית, מבחן העצמאות.</w:t>
      </w:r>
      <w:r>
        <w:rPr>
          <w:sz w:val="24"/>
          <w:rtl/>
          <w:szCs w:val="24"/>
        </w:rPr>
        <w:t xml:space="preserve"> הקבוצה הוקמה בתגובה ישירה להתארגנות ההסתדרות ועל רקע כוונת ההנהלה לבצע פיטורים. המנכ"ל בירך על הקמתה, ראה בה ביטוי ל"תרבות הייחודית של החברה" ופעל במקביל נגד ההסתדרות. נסיבות אלה מעידות כי הקבוצה פועלת, לכל הפחות, בהלימה מלאה לעמדת ההנהלה, וקשה לראות בה גוף עצמאי.</w:t>
      </w:r>
    </w:p>
    <w:p>
      <w:pPr>
        <w:bidi/>
        <w:spacing w:before="0" w:after="0"/>
        <w:jc w:val="both"/>
      </w:pPr>
      <w:r>
        <w:rPr>
          <w:b/>
          <w:sz w:val="24"/>
          <w:rtl/>
          <w:szCs w:val="24"/>
          <w:bCs/>
        </w:rPr>
        <w:t>שלישית, פסק הדין בעניין נוקיה.</w:t>
      </w:r>
      <w:r>
        <w:rPr>
          <w:sz w:val="24"/>
          <w:rtl/>
          <w:szCs w:val="24"/>
        </w:rPr>
        <w:t xml:space="preserve"> בעס"ק (ארצי) 6298-03-25 </w:t>
      </w:r>
      <w:r>
        <w:rPr>
          <w:b/>
          <w:sz w:val="24"/>
          <w:rtl/>
          <w:szCs w:val="24"/>
          <w:bCs/>
        </w:rPr>
        <w:t>הסתדרות העובדים הכללית החדשה נ' ארגון עובדי הפיתוח והשיווק בנוקיה</w:t>
      </w:r>
      <w:r>
        <w:rPr>
          <w:sz w:val="24"/>
          <w:rtl/>
          <w:szCs w:val="24"/>
        </w:rPr>
        <w:t xml:space="preserve"> (10.6.2025) נדון מקרה דומה במידה רבה: גוף שהקימו עובדים כחלופה להסתדרות, ובמסמכי היסוד שלו נקבע כי ענייני השכר והתגמול יוסיפו להיקבע בחוזים אישיים. בית הדין הארצי הבהיר כי ההכרעה בשאלת מעמדו של גוף כארגון עובדים נעשית לפי מהותו ולא לפי התוויות שבתקנונו, וכי גוף ששולל ייצוג קיבוצי בתנאי העבודה המרכזיים אינו מקיים את מבחן המטרה העיקרית. ההלכה חלה כאן ביתר שאת, שכן מטרה ד' בתקנון הקבוצה כמעט זהה למה שנבחן שם.</w:t>
      </w:r>
    </w:p>
    <w:p>
      <w:pPr>
        <w:bidi/>
        <w:spacing w:before="0" w:after="0"/>
        <w:jc w:val="both"/>
      </w:pPr>
      <w:r>
        <w:rPr>
          <w:sz w:val="24"/>
          <w:rtl/>
          <w:szCs w:val="24"/>
        </w:rPr>
        <w:t xml:space="preserve">יש להדגיש כי חופש ההתאגדות כולל גם את </w:t>
      </w:r>
      <w:r>
        <w:rPr>
          <w:b/>
          <w:sz w:val="24"/>
          <w:rtl/>
          <w:szCs w:val="24"/>
          <w:bCs/>
        </w:rPr>
        <w:t>החופש השלילי</w:t>
      </w:r>
      <w:r>
        <w:rPr>
          <w:sz w:val="24"/>
          <w:rtl/>
          <w:szCs w:val="24"/>
        </w:rPr>
        <w:t>, כלומר זכותו של עובד שלא להצטרף להסתדרות. העובדים רשאים להתאגד בקבוצה כעמותה חברתית או כפורום הידברות, אך לא ניתן לייחס לה את מעמדו של ארגון עובדים. המשמעות המעשית היא שחברי הקבוצה אינם נמנים לצורך ספירת היציגות של ארגון מתחרה, והקבוצה אינה יכולה לדרוש לנהל משא ומתן קיבוצי או לחתום על הסכם קיבוצי.</w:t>
      </w:r>
    </w:p>
    <w:p>
      <w:pPr>
        <w:bidi/>
        <w:spacing w:before="120" w:after="0"/>
        <w:jc w:val="both"/>
      </w:pPr>
      <w:r>
        <w:rPr>
          <w:b/>
          <w:sz w:val="24"/>
          <w:rtl/>
          <w:szCs w:val="24"/>
          <w:bCs/>
        </w:rPr>
        <w:t>3. האם פעולות ההנהלה נעשו כדין?</w:t>
      </w:r>
    </w:p>
    <w:p>
      <w:pPr>
        <w:bidi/>
        <w:spacing w:before="0" w:after="0"/>
        <w:jc w:val="both"/>
      </w:pPr>
      <w:r>
        <w:rPr>
          <w:b/>
          <w:sz w:val="24"/>
          <w:rtl/>
          <w:szCs w:val="24"/>
          <w:bCs/>
        </w:rPr>
        <w:t>פרק ד'1 לחוק הסכמים קיבוציים</w:t>
      </w:r>
      <w:r>
        <w:rPr>
          <w:sz w:val="24"/>
          <w:rtl/>
          <w:szCs w:val="24"/>
        </w:rPr>
        <w:t xml:space="preserve"> (שהוסף בשנת 2008), ובפרט </w:t>
      </w:r>
      <w:r>
        <w:rPr>
          <w:b/>
          <w:sz w:val="24"/>
          <w:rtl/>
          <w:szCs w:val="24"/>
          <w:bCs/>
        </w:rPr>
        <w:t>סעיף 33ח</w:t>
      </w:r>
      <w:r>
        <w:rPr>
          <w:sz w:val="24"/>
          <w:rtl/>
          <w:szCs w:val="24"/>
        </w:rPr>
        <w:t xml:space="preserve">, אוסר על מעסיק לפגוע בזכות ההתארגנות של עובדיו. בפרשת </w:t>
      </w:r>
      <w:r>
        <w:rPr>
          <w:b/>
          <w:sz w:val="24"/>
          <w:rtl/>
          <w:szCs w:val="24"/>
          <w:bCs/>
        </w:rPr>
        <w:t>פלאפון</w:t>
      </w:r>
      <w:r>
        <w:rPr>
          <w:sz w:val="24"/>
          <w:rtl/>
          <w:szCs w:val="24"/>
        </w:rPr>
        <w:t xml:space="preserve"> (ע"ק 25476-09-12) קבע בית הדין הארצי כי בשלב ההתארגנות הראשוני על המעסיק לנהוג </w:t>
      </w:r>
      <w:r>
        <w:rPr>
          <w:b/>
          <w:sz w:val="24"/>
          <w:rtl/>
          <w:szCs w:val="24"/>
          <w:bCs/>
        </w:rPr>
        <w:t>ניטרליות</w:t>
      </w:r>
      <w:r>
        <w:rPr>
          <w:sz w:val="24"/>
          <w:rtl/>
          <w:szCs w:val="24"/>
        </w:rPr>
        <w:t xml:space="preserve">: עליו להימנע מכל התבטאות בעניין ההתארגנות, בין בעד ובין נגד, וממפגשים ושיחות עם עובדים בנושא. הרציונל הוא פערי הכוחות והתלות של העובד במעסיק, היוצרים </w:t>
      </w:r>
      <w:r>
        <w:rPr>
          <w:b/>
          <w:sz w:val="24"/>
          <w:rtl/>
          <w:szCs w:val="24"/>
          <w:bCs/>
        </w:rPr>
        <w:t>"אפקט מצנן"</w:t>
      </w:r>
      <w:r>
        <w:rPr>
          <w:sz w:val="24"/>
          <w:rtl/>
          <w:szCs w:val="24"/>
        </w:rPr>
        <w:t xml:space="preserve"> גם כשההתבטאות נראית מתונה. עוד נקבע כי כאשר המעסיק מתבטא, עובר אליו הנטל להראות שלא פגע בהתארגנות.</w:t>
      </w:r>
    </w:p>
    <w:p>
      <w:pPr>
        <w:bidi/>
        <w:spacing w:before="0" w:after="0"/>
        <w:jc w:val="both"/>
      </w:pPr>
      <w:r>
        <w:rPr>
          <w:sz w:val="24"/>
          <w:rtl/>
          <w:szCs w:val="24"/>
        </w:rPr>
        <w:t xml:space="preserve">לאור זאת, שלוש פעולות ההנהלה אינן כשרות. </w:t>
      </w:r>
      <w:r>
        <w:rPr>
          <w:b/>
          <w:sz w:val="24"/>
          <w:rtl/>
          <w:szCs w:val="24"/>
          <w:bCs/>
        </w:rPr>
        <w:t>הודעת הדואר האלקטרוני</w:t>
      </w:r>
      <w:r>
        <w:rPr>
          <w:sz w:val="24"/>
          <w:rtl/>
          <w:szCs w:val="24"/>
        </w:rPr>
        <w:t xml:space="preserve"> של המנכ"ל, שהציגה את ההסתדרות כגורם "חיצוני" המאיים על התרבות הארגונית, היא התבטאות שלילית מובהקת בשלב ההתארגנות. </w:t>
      </w:r>
      <w:r>
        <w:rPr>
          <w:b/>
          <w:sz w:val="24"/>
          <w:rtl/>
          <w:szCs w:val="24"/>
          <w:bCs/>
        </w:rPr>
        <w:t>הנחיית מנהלי הצוותים</w:t>
      </w:r>
      <w:r>
        <w:rPr>
          <w:sz w:val="24"/>
          <w:rtl/>
          <w:szCs w:val="24"/>
        </w:rPr>
        <w:t xml:space="preserve"> לשוחח עם עובדיהם היא חמורה עוד יותר, משום שמדובר במי שמשפיע ישירות על בונוסים, אופציות וקידום, ולכן הלחץ המופעל באמצעותם גדול במיוחד. </w:t>
      </w:r>
      <w:r>
        <w:rPr>
          <w:b/>
          <w:sz w:val="24"/>
          <w:rtl/>
          <w:szCs w:val="24"/>
          <w:bCs/>
        </w:rPr>
        <w:t>הפגישה עם הקבוצה ודברי השבח</w:t>
      </w:r>
      <w:r>
        <w:rPr>
          <w:sz w:val="24"/>
          <w:rtl/>
          <w:szCs w:val="24"/>
        </w:rPr>
        <w:t xml:space="preserve"> כלפיה מהווים תמיכה בגוף מתחרה והעדפתו על פני ההסתדרות, בניגוד לחובת הניטרליות ולאיסור על "ועד מטעם".</w:t>
      </w:r>
    </w:p>
    <w:p>
      <w:pPr>
        <w:bidi/>
        <w:spacing w:before="120" w:after="0"/>
        <w:jc w:val="both"/>
      </w:pPr>
      <w:r>
        <w:rPr>
          <w:b/>
          <w:sz w:val="24"/>
          <w:rtl/>
          <w:szCs w:val="24"/>
          <w:bCs/>
        </w:rPr>
        <w:t>4. סיכום</w:t>
      </w:r>
    </w:p>
    <w:p>
      <w:pPr>
        <w:bidi/>
        <w:spacing w:before="0" w:after="0"/>
        <w:jc w:val="both"/>
      </w:pPr>
      <w:r>
        <w:rPr>
          <w:sz w:val="24"/>
          <w:rtl/>
          <w:szCs w:val="24"/>
        </w:rPr>
        <w:t>טענות ההסתדרות מוצדקות. הקבוצה אינה עומדת במבחני הפסיקה, ובעיקר במבחן המטרה העיקרית ובמבחן העצמאות, כפי שנקבע במקרה דומה בעניין נוקיה. פעולות ההנהלה הפרו את חובת הניטרליות שנקבעה בפרשת פלאפון ואת סעיף 33ח לחוק. בית הדין רשאי ליתן צווים נגד המשך הפגיעה ולהורות על פרסום הודעה מתקנת לעובדים.</w:t>
      </w:r>
    </w:p>
    <w:p>
      <w:r>
        <w:br w:type="page"/>
      </w:r>
    </w:p>
    <w:p>
      <w:pPr>
        <w:bidi/>
        <w:spacing w:before="0" w:after="120"/>
        <w:jc w:val="center"/>
      </w:pPr>
      <w:r>
        <w:rPr>
          <w:b/>
          <w:sz w:val="28"/>
          <w:rtl/>
          <w:szCs w:val="28"/>
          <w:bCs/>
        </w:rPr>
        <w:t>חלק ב' – טענותיו של אורי</w:t>
      </w:r>
    </w:p>
    <w:p>
      <w:pPr>
        <w:bidi/>
        <w:spacing w:before="120" w:after="0"/>
        <w:jc w:val="both"/>
      </w:pPr>
      <w:r>
        <w:rPr>
          <w:b/>
          <w:sz w:val="24"/>
          <w:rtl/>
          <w:szCs w:val="24"/>
          <w:bCs/>
        </w:rPr>
        <w:t>1. האם התנהגותה של דנה עלתה כדי הטרדה מינית?</w:t>
      </w:r>
    </w:p>
    <w:p>
      <w:pPr>
        <w:bidi/>
        <w:spacing w:before="0" w:after="0"/>
        <w:jc w:val="both"/>
      </w:pPr>
      <w:r>
        <w:rPr>
          <w:b/>
          <w:sz w:val="24"/>
          <w:rtl/>
          <w:szCs w:val="24"/>
          <w:bCs/>
        </w:rPr>
        <w:t>חוק למניעת הטרדה מינית, התשנ"ח-1998</w:t>
      </w:r>
      <w:r>
        <w:rPr>
          <w:sz w:val="24"/>
          <w:rtl/>
          <w:szCs w:val="24"/>
        </w:rPr>
        <w:t>, נועד להגן על כבוד האדם, חירותו ופרטיותו ועל השוויון בין המינים (</w:t>
      </w:r>
      <w:r>
        <w:rPr>
          <w:b/>
          <w:sz w:val="24"/>
          <w:rtl/>
          <w:szCs w:val="24"/>
          <w:bCs/>
        </w:rPr>
        <w:t>סעיף 1</w:t>
      </w:r>
      <w:r>
        <w:rPr>
          <w:sz w:val="24"/>
          <w:rtl/>
          <w:szCs w:val="24"/>
        </w:rPr>
        <w:t xml:space="preserve">). </w:t>
      </w:r>
      <w:r>
        <w:rPr>
          <w:b/>
          <w:sz w:val="24"/>
          <w:rtl/>
          <w:szCs w:val="24"/>
          <w:bCs/>
        </w:rPr>
        <w:t>סעיף 3(א)(5)</w:t>
      </w:r>
      <w:r>
        <w:rPr>
          <w:sz w:val="24"/>
          <w:rtl/>
          <w:szCs w:val="24"/>
        </w:rPr>
        <w:t xml:space="preserve"> מגדיר כהטרדה מינית </w:t>
      </w:r>
      <w:r>
        <w:rPr>
          <w:b/>
          <w:sz w:val="24"/>
          <w:rtl/>
          <w:szCs w:val="24"/>
          <w:bCs/>
        </w:rPr>
        <w:t>"התייחסויות חוזרות המופנות לאדם, המתמקדות במיניותו"</w:t>
      </w:r>
      <w:r>
        <w:rPr>
          <w:sz w:val="24"/>
          <w:rtl/>
          <w:szCs w:val="24"/>
        </w:rPr>
        <w:t xml:space="preserve">, כאשר אותו אדם </w:t>
      </w:r>
      <w:r>
        <w:rPr>
          <w:b/>
          <w:sz w:val="24"/>
          <w:rtl/>
          <w:szCs w:val="24"/>
          <w:bCs/>
        </w:rPr>
        <w:t>הראה למטריד שאינו מעוניין בהן</w:t>
      </w:r>
      <w:r>
        <w:rPr>
          <w:sz w:val="24"/>
          <w:rtl/>
          <w:szCs w:val="24"/>
        </w:rPr>
        <w:t>. הדרישה להראות חוסר עניין יכולה להתקיים גם בהתנהגות ולא רק במילים, והיא נבחנת לפי נסיבות המקרה.</w:t>
      </w:r>
    </w:p>
    <w:p>
      <w:pPr>
        <w:bidi/>
        <w:spacing w:before="0" w:after="0"/>
        <w:jc w:val="both"/>
      </w:pPr>
      <w:r>
        <w:rPr>
          <w:sz w:val="24"/>
          <w:rtl/>
          <w:szCs w:val="24"/>
        </w:rPr>
        <w:t>במקרה שלפנינו מרבית השיחות עסקו במיניותה של דנה עצמה ולא במיניותו של אורי. השאלה הישירה על נטייתו המינית נשאלה פעם אחת, ואינה עונה על דרישת ה"חזרתיות". חשוב מכך, אורי לא הראה בתחילה כי אינו מעוניין: הוא שאל שאלות ושיתף פרטים מחייו, וברגע שהבהיר כי הוא מעדיף להשאיר את הנושא מחוץ לעבודה, דנה חדלה מיד. לפיכך, לפי החלופה הכללית, ספק רב אם יש כאן הטרדה מינית.</w:t>
      </w:r>
    </w:p>
    <w:p>
      <w:pPr>
        <w:bidi/>
        <w:spacing w:before="0" w:after="0"/>
        <w:jc w:val="both"/>
      </w:pPr>
      <w:r>
        <w:rPr>
          <w:b/>
          <w:sz w:val="24"/>
          <w:rtl/>
          <w:szCs w:val="24"/>
          <w:bCs/>
        </w:rPr>
        <w:t>השאלה המרכזית היא יחסי המרות.</w:t>
      </w:r>
      <w:r>
        <w:rPr>
          <w:sz w:val="24"/>
          <w:rtl/>
          <w:szCs w:val="24"/>
        </w:rPr>
        <w:t xml:space="preserve"> לפי </w:t>
      </w:r>
      <w:r>
        <w:rPr>
          <w:b/>
          <w:sz w:val="24"/>
          <w:rtl/>
          <w:szCs w:val="24"/>
          <w:bCs/>
        </w:rPr>
        <w:t>סעיף 3(א)(6)(ג)</w:t>
      </w:r>
      <w:r>
        <w:rPr>
          <w:sz w:val="24"/>
          <w:rtl/>
          <w:szCs w:val="24"/>
        </w:rPr>
        <w:t xml:space="preserve"> לחוק, כאשר ההתייחסויות מופנות לעובד </w:t>
      </w:r>
      <w:r>
        <w:rPr>
          <w:b/>
          <w:sz w:val="24"/>
          <w:rtl/>
          <w:szCs w:val="24"/>
          <w:bCs/>
        </w:rPr>
        <w:t>תוך ניצול יחסי מרות בעבודה</w:t>
      </w:r>
      <w:r>
        <w:rPr>
          <w:sz w:val="24"/>
          <w:rtl/>
          <w:szCs w:val="24"/>
        </w:rPr>
        <w:t xml:space="preserve">, אין צורך שהמוטרד יראה שאינו מעוניין. הפסיקה בוחנת את יחסי המרות </w:t>
      </w:r>
      <w:r>
        <w:rPr>
          <w:b/>
          <w:sz w:val="24"/>
          <w:rtl/>
          <w:szCs w:val="24"/>
          <w:bCs/>
        </w:rPr>
        <w:t>באופן מהותי ולא פורמלי</w:t>
      </w:r>
      <w:r>
        <w:rPr>
          <w:sz w:val="24"/>
          <w:rtl/>
          <w:szCs w:val="24"/>
        </w:rPr>
        <w:t>: השאלה אינה אם למטריד יש סמכות רשמית לקבל ולפטר, אלא אם יש לו בפועל השפעה על מעמדו ועתידו המקצועי של המוטרד. דנה משתתפת בהחלטות השיבוץ ולהמלצתה השפעה על קידום עובדים צעירים, ואורי הוא עובד חדש וצעיר. לכן ניתן לטעון שהתקיימו יחסי מרות, וכי השתתפותו של אורי בשיחות אינה מעידה בהכרח על הסכמה חופשית. הפסיקה הכירה בכך שבמערכת יחסים היררכית "הסכמה" עשויה לנבוע מחשש לפגיעה מקצועית, ומכאן ההכרעה המחוקקת לוותר במצב זה על דרישת ההבעה.</w:t>
      </w:r>
    </w:p>
    <w:p>
      <w:pPr>
        <w:bidi/>
        <w:spacing w:before="0" w:after="0"/>
        <w:jc w:val="both"/>
      </w:pPr>
      <w:r>
        <w:rPr>
          <w:sz w:val="24"/>
          <w:rtl/>
          <w:szCs w:val="24"/>
        </w:rPr>
        <w:t xml:space="preserve">עם זאת, גם בחלופה זו נדרש ניצול של יחסי המרות ונדרשות התייחסויות </w:t>
      </w:r>
      <w:r>
        <w:rPr>
          <w:b/>
          <w:sz w:val="24"/>
          <w:rtl/>
          <w:szCs w:val="24"/>
          <w:bCs/>
        </w:rPr>
        <w:t>המתמקדות במיניותו של המוטרד</w:t>
      </w:r>
      <w:r>
        <w:rPr>
          <w:sz w:val="24"/>
          <w:rtl/>
          <w:szCs w:val="24"/>
        </w:rPr>
        <w:t xml:space="preserve">. דנה סיפרה בעיקר על חייה שלה, לא התנתה דבר, השיחות היו הדדיות והיא הפסיקה כשהתבקשה. בנסיבות אלה נראה כי קשה לבסס ניצול מרות, ולכן מסקנתי היא שטענת ההטרדה המינית אינה חזקה, אף שאינה מופרכת. מכל מקום, שיח מיני מפורט מצד עובדת בכירה כלפי עובד צעיר אינו ראוי, והמעסיק נדרש למנוע אותו במסגרת חובותיו לפי </w:t>
      </w:r>
      <w:r>
        <w:rPr>
          <w:b/>
          <w:sz w:val="24"/>
          <w:rtl/>
          <w:szCs w:val="24"/>
          <w:bCs/>
        </w:rPr>
        <w:t>סעיף 7 לחוק</w:t>
      </w:r>
      <w:r>
        <w:rPr>
          <w:sz w:val="24"/>
          <w:rtl/>
          <w:szCs w:val="24"/>
        </w:rPr>
        <w:t xml:space="preserve"> ו</w:t>
      </w:r>
      <w:r>
        <w:rPr>
          <w:b/>
          <w:sz w:val="24"/>
          <w:rtl/>
          <w:szCs w:val="24"/>
          <w:bCs/>
        </w:rPr>
        <w:t>תקנות למניעת הטרדה מינית (חובות מעביד), התשנ"ח-1998</w:t>
      </w:r>
      <w:r>
        <w:rPr>
          <w:sz w:val="24"/>
          <w:rtl/>
          <w:szCs w:val="24"/>
        </w:rPr>
        <w:t>: קביעת תקנון, הסברה ומינוי אחראי לטיפול בתלונות.</w:t>
      </w:r>
    </w:p>
    <w:p>
      <w:pPr>
        <w:bidi/>
        <w:spacing w:before="120" w:after="0"/>
        <w:jc w:val="both"/>
      </w:pPr>
      <w:r>
        <w:rPr>
          <w:b/>
          <w:sz w:val="24"/>
          <w:rtl/>
          <w:szCs w:val="24"/>
          <w:bCs/>
        </w:rPr>
        <w:t>2. האם ההעברה לצוות אחר היא התנכלות?</w:t>
      </w:r>
    </w:p>
    <w:p>
      <w:pPr>
        <w:bidi/>
        <w:spacing w:before="0" w:after="0"/>
        <w:jc w:val="both"/>
      </w:pPr>
      <w:r>
        <w:rPr>
          <w:b/>
          <w:sz w:val="24"/>
          <w:rtl/>
          <w:szCs w:val="24"/>
          <w:bCs/>
        </w:rPr>
        <w:t>סעיף 3(א)(7)</w:t>
      </w:r>
      <w:r>
        <w:rPr>
          <w:sz w:val="24"/>
          <w:rtl/>
          <w:szCs w:val="24"/>
        </w:rPr>
        <w:t xml:space="preserve"> לחוק מגדיר </w:t>
      </w:r>
      <w:r>
        <w:rPr>
          <w:b/>
          <w:sz w:val="24"/>
          <w:rtl/>
          <w:szCs w:val="24"/>
          <w:bCs/>
        </w:rPr>
        <w:t>התנכלות</w:t>
      </w:r>
      <w:r>
        <w:rPr>
          <w:sz w:val="24"/>
          <w:rtl/>
          <w:szCs w:val="24"/>
        </w:rPr>
        <w:t xml:space="preserve"> כפגיעה שמקורה בהטרדה מינית, או בדחייה או תלונה בעניינה, ו</w:t>
      </w:r>
      <w:r>
        <w:rPr>
          <w:b/>
          <w:sz w:val="24"/>
          <w:rtl/>
          <w:szCs w:val="24"/>
          <w:bCs/>
        </w:rPr>
        <w:t>סעיף 7 לחוק שוויון ההזדמנויות בעבודה, התשמ"ח-1988</w:t>
      </w:r>
      <w:r>
        <w:rPr>
          <w:sz w:val="24"/>
          <w:rtl/>
          <w:szCs w:val="24"/>
        </w:rPr>
        <w:t xml:space="preserve"> אוסר על מעסיק לפגוע בעובד בשל כך. ההעברה של אורי חודש לאחר שביקש לסיים את השיחות, לצוות טכני ותוך גריעת אחריות וישיבות קריאטיב, מעוררת חשד לקשר סיבתי, במיוחד בשל השפעתה של דנה על השיבוץ. לפי </w:t>
      </w:r>
      <w:r>
        <w:rPr>
          <w:b/>
          <w:sz w:val="24"/>
          <w:rtl/>
          <w:szCs w:val="24"/>
          <w:bCs/>
        </w:rPr>
        <w:t>סעיף 9 לחוק שוויון ההזדמנויות</w:t>
      </w:r>
      <w:r>
        <w:rPr>
          <w:sz w:val="24"/>
          <w:rtl/>
          <w:szCs w:val="24"/>
        </w:rPr>
        <w:t xml:space="preserve"> הנטל עשוי לעבור למעסיק להוכיח שההעברה נעשתה משיקולים ענייניים.</w:t>
      </w:r>
    </w:p>
    <w:p>
      <w:pPr>
        <w:bidi/>
        <w:spacing w:before="0" w:after="0"/>
        <w:jc w:val="both"/>
      </w:pPr>
      <w:r>
        <w:rPr>
          <w:sz w:val="24"/>
          <w:rtl/>
          <w:szCs w:val="24"/>
        </w:rPr>
        <w:t xml:space="preserve">מנגד, למעסיק נתונה </w:t>
      </w:r>
      <w:r>
        <w:rPr>
          <w:b/>
          <w:sz w:val="24"/>
          <w:rtl/>
          <w:szCs w:val="24"/>
          <w:bCs/>
        </w:rPr>
        <w:t>פררוגטיבה ניהולית</w:t>
      </w:r>
      <w:r>
        <w:rPr>
          <w:sz w:val="24"/>
          <w:rtl/>
          <w:szCs w:val="24"/>
        </w:rPr>
        <w:t xml:space="preserve"> לשבץ עובדים לפי צרכי העבודה, שכרו והיקף משרתו של אורי לא נפגעו, ואין בעובדות ראיה ישירה למעורבותה של דנה בהחלטה. ההכרעה בטענה תלויה אפוא בראיות, ובעיקר בשאלה מי קיבל את ההחלטה ומה היו נימוקיה. אם יוכח קשר לדחיית השיחות, תקום לאורי עילת התנכלות, ואף אם הוא עצמו לא התלונן.</w:t>
      </w:r>
    </w:p>
    <w:p>
      <w:pPr>
        <w:bidi/>
        <w:spacing w:before="120" w:after="0"/>
        <w:jc w:val="both"/>
      </w:pPr>
      <w:r>
        <w:rPr>
          <w:b/>
          <w:sz w:val="24"/>
          <w:rtl/>
          <w:szCs w:val="24"/>
          <w:bCs/>
        </w:rPr>
        <w:t>3. האם אורי התפטר "בדין מפוטר"?</w:t>
      </w:r>
    </w:p>
    <w:p>
      <w:pPr>
        <w:bidi/>
        <w:spacing w:before="0" w:after="0"/>
        <w:jc w:val="both"/>
      </w:pPr>
      <w:r>
        <w:rPr>
          <w:sz w:val="24"/>
          <w:rtl/>
          <w:szCs w:val="24"/>
        </w:rPr>
        <w:t xml:space="preserve">לפי </w:t>
      </w:r>
      <w:r>
        <w:rPr>
          <w:b/>
          <w:sz w:val="24"/>
          <w:rtl/>
          <w:szCs w:val="24"/>
          <w:bCs/>
        </w:rPr>
        <w:t>סעיף 11(א) לחוק פיצויי פיטורים, התשכ"ג-1963</w:t>
      </w:r>
      <w:r>
        <w:rPr>
          <w:sz w:val="24"/>
          <w:rtl/>
          <w:szCs w:val="24"/>
        </w:rPr>
        <w:t xml:space="preserve">, התפטרות בשל </w:t>
      </w:r>
      <w:r>
        <w:rPr>
          <w:b/>
          <w:sz w:val="24"/>
          <w:rtl/>
          <w:szCs w:val="24"/>
          <w:bCs/>
        </w:rPr>
        <w:t>הרעה מוחשית בתנאי העבודה</w:t>
      </w:r>
      <w:r>
        <w:rPr>
          <w:sz w:val="24"/>
          <w:rtl/>
          <w:szCs w:val="24"/>
        </w:rPr>
        <w:t xml:space="preserve">, או בשל </w:t>
      </w:r>
      <w:r>
        <w:rPr>
          <w:b/>
          <w:sz w:val="24"/>
          <w:rtl/>
          <w:szCs w:val="24"/>
          <w:bCs/>
        </w:rPr>
        <w:t>נסיבות אחרות שביחסי העבודה</w:t>
      </w:r>
      <w:r>
        <w:rPr>
          <w:sz w:val="24"/>
          <w:rtl/>
          <w:szCs w:val="24"/>
        </w:rPr>
        <w:t xml:space="preserve"> שבהן אין לדרוש מהעובד להמשיך בעבודתו, דינה כפיטורים לעניין פיצויי פיטורים. הפסיקה דורשת שלושה יסודות: </w:t>
      </w:r>
      <w:r>
        <w:rPr>
          <w:b/>
          <w:sz w:val="24"/>
          <w:rtl/>
          <w:szCs w:val="24"/>
          <w:bCs/>
        </w:rPr>
        <w:t>(א)</w:t>
      </w:r>
      <w:r>
        <w:rPr>
          <w:sz w:val="24"/>
          <w:rtl/>
          <w:szCs w:val="24"/>
        </w:rPr>
        <w:t xml:space="preserve"> הרעה מוחשית או נסיבות מצדיקות; </w:t>
      </w:r>
      <w:r>
        <w:rPr>
          <w:b/>
          <w:sz w:val="24"/>
          <w:rtl/>
          <w:szCs w:val="24"/>
          <w:bCs/>
        </w:rPr>
        <w:t>(ב)</w:t>
      </w:r>
      <w:r>
        <w:rPr>
          <w:sz w:val="24"/>
          <w:rtl/>
          <w:szCs w:val="24"/>
        </w:rPr>
        <w:t xml:space="preserve"> </w:t>
      </w:r>
      <w:r>
        <w:rPr>
          <w:b/>
          <w:sz w:val="24"/>
          <w:rtl/>
          <w:szCs w:val="24"/>
          <w:bCs/>
        </w:rPr>
        <w:t>התראה</w:t>
      </w:r>
      <w:r>
        <w:rPr>
          <w:sz w:val="24"/>
          <w:rtl/>
          <w:szCs w:val="24"/>
        </w:rPr>
        <w:t xml:space="preserve"> למעסיק ומתן הזדמנות סבירה לתקן את המצב; </w:t>
      </w:r>
      <w:r>
        <w:rPr>
          <w:b/>
          <w:sz w:val="24"/>
          <w:rtl/>
          <w:szCs w:val="24"/>
          <w:bCs/>
        </w:rPr>
        <w:t>(ג)</w:t>
      </w:r>
      <w:r>
        <w:rPr>
          <w:sz w:val="24"/>
          <w:rtl/>
          <w:szCs w:val="24"/>
        </w:rPr>
        <w:t xml:space="preserve"> </w:t>
      </w:r>
      <w:r>
        <w:rPr>
          <w:b/>
          <w:sz w:val="24"/>
          <w:rtl/>
          <w:szCs w:val="24"/>
          <w:bCs/>
        </w:rPr>
        <w:t>קשר סיבתי</w:t>
      </w:r>
      <w:r>
        <w:rPr>
          <w:sz w:val="24"/>
          <w:rtl/>
          <w:szCs w:val="24"/>
        </w:rPr>
        <w:t xml:space="preserve"> בין ההרעה להתפטרות, הנבחן בין היתר לפי סמיכות הזמנים.</w:t>
      </w:r>
    </w:p>
    <w:p>
      <w:pPr>
        <w:bidi/>
        <w:spacing w:before="0" w:after="0"/>
        <w:jc w:val="both"/>
      </w:pPr>
      <w:r>
        <w:rPr>
          <w:sz w:val="24"/>
          <w:rtl/>
          <w:szCs w:val="24"/>
        </w:rPr>
        <w:t xml:space="preserve">הרעה מוחשית אינה מוגבלת לשכר, ופגיעה במעמד, באחריות ובהיקף הסמכויות עשויה להיחשב כזו. לכן אורי יכול לטעון שהמעבר לעריכה טכנית ולבקרת איכות הוא הרעה מוחשית. אולם אורי </w:t>
      </w:r>
      <w:r>
        <w:rPr>
          <w:b/>
          <w:sz w:val="24"/>
          <w:rtl/>
          <w:szCs w:val="24"/>
          <w:bCs/>
        </w:rPr>
        <w:t>לא מחה ולא ביקש לחזור לתפקידו</w:t>
      </w:r>
      <w:r>
        <w:rPr>
          <w:sz w:val="24"/>
          <w:rtl/>
          <w:szCs w:val="24"/>
        </w:rPr>
        <w:t xml:space="preserve">, ולא נתן למעסיק הזדמנות לתקן את המצב. הוא המשיך לעבוד במתכונת החדשה </w:t>
      </w:r>
      <w:r>
        <w:rPr>
          <w:b/>
          <w:sz w:val="24"/>
          <w:rtl/>
          <w:szCs w:val="24"/>
          <w:bCs/>
        </w:rPr>
        <w:t>ארבעה חודשים</w:t>
      </w:r>
      <w:r>
        <w:rPr>
          <w:sz w:val="24"/>
          <w:rtl/>
          <w:szCs w:val="24"/>
        </w:rPr>
        <w:t>, דבר המלמד על השלמה עם השינוי ומחליש את הקשר הסיבתי. הפסיקה מכירה בגמישות בדרישת ההתראה כאשר מדובר בהטרדה מינית או כאשר ההתראה הייתה חסרת תועלת, אך כאמור קשה להוכיח הטרדה מינית במקרה זה, והגמישות אינה מצדיקה שתיקה ממושכת.</w:t>
      </w:r>
    </w:p>
    <w:p>
      <w:pPr>
        <w:bidi/>
        <w:spacing w:before="120" w:after="0"/>
        <w:jc w:val="both"/>
      </w:pPr>
      <w:r>
        <w:rPr>
          <w:b/>
          <w:sz w:val="24"/>
          <w:rtl/>
          <w:szCs w:val="24"/>
          <w:bCs/>
        </w:rPr>
        <w:t>4. סיכום</w:t>
      </w:r>
    </w:p>
    <w:p>
      <w:pPr>
        <w:bidi/>
        <w:spacing w:before="0" w:after="0"/>
        <w:jc w:val="both"/>
      </w:pPr>
      <w:r>
        <w:rPr>
          <w:sz w:val="24"/>
          <w:rtl/>
          <w:szCs w:val="24"/>
        </w:rPr>
        <w:t>לדעתי טענותיו של אורי אינן מבוססות דיין. טענת ההטרדה המינית חלשה, משום שאורי לא הראה חוסר עניין עד שביקש לסיים את השיחות, ודנה חדלה מיד. רק אם בית הדין יקבע כי התקיימו יחסי מרות מהותיים וכי דנה ניצלה אותם, הטענה תתחזק. טענת ההתנכלות אפשרית ותלויה בהוכחת קשר בין ההעברה לבין דחיית השיחות. טענת ההתפטרות בדין מפוטר חלשה, בעיקר בשל היעדר התראה וחלוף ארבעה חודשים. יחד עם זאת, על החברה לבחון את התנהלותה ולוודא שהיא עומדת בחובותיה לפי החוק והתקנות.</w:t>
      </w:r>
    </w:p>
    <w:sectPr w:rsidR="00FC693F" w:rsidRPr="0006063C" w:rsidSect="00034616">
      <w:pgSz w:w="11906" w:h="16838"/>
      <w:pgMar w:top="1417" w:right="1417" w:bottom="1417" w:left="1417" w:header="720" w:footer="720" w:gutter="0"/>
      <w:cols w:space="720"/>
      <w:docGrid w:linePitch="360"/>
      <w:bidi/>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before="0"/>
    </w:pPr>
    <w:rPr>
      <w:rFonts w:ascii="David" w:hAnsi="David" w:cs="David" w:eastAsia="David"/>
      <w:sz w:val="24"/>
      <w:szCs w:val="24"/>
      <w:lang w:bidi="he-IL"/>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