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bidi/>
        <w:spacing w:after="160" w:before="0" w:line="360"/>
        <w:jc w:val="both"/>
      </w:pPr>
      <w:r>
        <w:rPr>
          <w:rFonts w:ascii="David" w:cs="David" w:eastAsia="David" w:hAnsi="David"/>
          <w:sz w:val="24"/>
          <w:szCs w:val="24"/>
          <w:rtl/>
        </w:rPr>
        <w:t xml:space="preserve">קודם לדיון גופו נדרשת הערה על המקורות. "היהדות" הנדונה בפרק זה אינה מקשה אחת אלא שכבות של ספרות המשתרעות מן המקרא, דרך המשנה והתלמוד, ועד ספרות ההלכה והמחשבה של ימי הביניים ואילך. קריאה קרימינולוגית של מקורות אלה אינה מתיימרת לקבוע מה "אומרת היהדות" באופן אחיד, אלא לחלץ מן הרבדים השונים תפיסות עקביות של האישה, העבירה והתגובה לה, ברוח המתודה של הקרימינולוגיה הרוחנית היהודית (בן יאיר, 2021). הפרק נע אפוא מן העיקרון המשפטי אל התפיסה הנפשית, ממנה אל הסדר החברתי, ומשם אל הדמויות והמנגנונים הקונקרטיים.</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pStyle w:val="Heading2"/>
        <w:bidi/>
        <w:spacing w:after="120" w:before="240" w:line="360"/>
        <w:jc w:val="right"/>
      </w:pPr>
      <w:r>
        <w:rPr>
          <w:rFonts w:ascii="David" w:cs="David" w:eastAsia="David" w:hAnsi="David"/>
          <w:b/>
          <w:bCs/>
          <w:color w:val="000000"/>
          <w:sz w:val="26"/>
          <w:szCs w:val="26"/>
          <w:rtl/>
        </w:rPr>
        <w:t xml:space="preserve">2.6 תשובה ותיקון: המענה ההלכתי לעבירה</w:t>
      </w:r>
    </w:p>
    <w:p>
      <w:pPr>
        <w:bidi/>
        <w:spacing w:after="160" w:before="0" w:line="360"/>
        <w:jc w:val="both"/>
      </w:pPr>
      <w:r>
        <w:rPr>
          <w:rFonts w:ascii="David" w:cs="David" w:eastAsia="David" w:hAnsi="David"/>
          <w:sz w:val="24"/>
          <w:szCs w:val="24"/>
          <w:rtl/>
        </w:rPr>
        <w:t xml:space="preserve">המענה ההלכתי לעבירה אינו מתמצה בענישה. במרכזו עומד מוסד התשובה, מסלול מובנה של שיבה מן החטא הכולל עזיבת החטא, חרטה, וידוי וקבלה לעתיד (רמב"ם, הלכות תשובה ב, ב), שבסופו זוכה השבה למעמד מוסרי מלא: "מקום שבעלי תשובה עומדין, צדיקים גמורים אינם עומדין" (ברכות לד ע"ב). בן יאיר (Ben Yair, 2021) מיפה את הכלים הללו, תשובה, וידוי, תיקון המידות, לימוד וקהילה, והראה את הלימתם לפרקטיקות שיקום מבוססות-ראיות בקרימינולוגיה בת-זמננו. לענייננו חשובה העובדה שהמסלול פתוח לנשים בדיוק כמו לגברים, כנגזרת ישירה של עקרון השוויון באחריות שנדון בפתח הפרק: האחריות המלאה על העבירה היא גם הזכות המלאה לתקנה.</w:t>
      </w:r>
    </w:p>
    <w:p>
      <w:pPr>
        <w:bidi/>
        <w:spacing w:after="160" w:before="0" w:line="360"/>
        <w:jc w:val="both"/>
      </w:pPr>
      <w:r>
        <w:rPr>
          <w:rFonts w:ascii="David" w:cs="David" w:eastAsia="David" w:hAnsi="David"/>
          <w:sz w:val="24"/>
          <w:szCs w:val="24"/>
          <w:rtl/>
        </w:rPr>
        <w:t xml:space="preserve">שני יסודות במוסד התשובה ראויים להדגשה קרימינולוגית. הראשון הוא איסור הזכרת העבר: "אם היה בעל תשובה, אל יאמר לו זכור מעשיך הראשונים" (בבא מציעא נח ע"ב). ההלכה זיהתה כאן, אלפי שנים לפני תיאוריית התיוג, כי הדבקת עברו של אדם בו לאחר שתיקן היא פגיעה האסורה כשלעצמה, וכי היא מסכלת את השיבה לחברה. השני הוא ההשתלבות מחדש כמעשה קהילתי: חז"ל דרשו את רחב, המוצגת במקרא כזונה ביריחו (יהושע ב), כמי שנתגיירה ונישאה בישראל (מגילה יד ע"ב), סיפור של קליטה מלאה של אישה מן השוליים אל לב הקהילה. שני היסודות הללו מקבילים במדויק לממצאי ספרות החדילה הנשית שיידונו בפרק הרביעי: יציאה מעבריינות נשענת על קשרים, על קהילה קולטת ועל זהות חדשה שאינה מוכתמת בעבר.</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קבעה מנגנוני הגנה והרתעה ייחודיים, והעמידה לצד כל אלה מסלול תשובה ותיקון הפתוח לנשים ולגברים כאחד.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הסברים פסיכולוגיים במבחן המגדר</w:t>
      </w:r>
    </w:p>
    <w:p>
      <w:pPr>
        <w:bidi/>
        <w:spacing w:after="160" w:before="0" w:line="360"/>
        <w:jc w:val="both"/>
      </w:pPr>
      <w:r>
        <w:rPr>
          <w:rFonts w:ascii="David" w:cs="David" w:eastAsia="David" w:hAnsi="David"/>
          <w:sz w:val="24"/>
          <w:szCs w:val="24"/>
          <w:rtl/>
        </w:rPr>
        <w:t xml:space="preserve">לצד ההסברים הסוציולוגיים פיתחה הקרימינולוגיה גם הסברים פסיכולוגיים לעבריינות, ואף הם קיבלו צביון מגדרי. הגישה הפסיכואנליטית המוקדמת תלתה את העבריינות בכשלים התפתחותיים של מבני האישיות ובדחפים שלא עברו עיבוד (לרנאו, 2023), ובהקשר המגדרי נטתה לראות בעבריינית מי שחרגה מתפקידה הנשי, ברוח ההסברים המהותניים שנדונו לעיל. מושג פורה יותר לענייננו הוא טכניקות הנטרול, אותן הצדקות שמספר לעצמו העבריין כדי להשתיק את קול המצפון לפני העבירה ובמהלכה (לרנאו, 2023). במבחן המגדר, הטכניקות הללו מאירות את שני צידי הפער. מצד אחד, נשים נדרשות למאמץ נטרול גדול יותר: העבירה סותרת אצלן לא רק נורמה חוקית אלא גם את הציפיות המגדריות המופנמות, ולכן קול המצפון שיש להשתיק חזק יותר. מצד שני, כאשר העבירה מבוצעת למען אחרים, כפי שקורה בשכיחות גבוהה אצל נשים, ההצדקה של הקרבה למען המשפחה זמינה וחזקה במיוחד, כפי שהודגם בפרשת אלון (יוכט, 2019). ההסבר הפסיכולוגי אינו מתחרה אפוא בהסבר החברתי אלא משלים אותו: הנורמות המגדריות פועלות גם מבפנים, דרך המצפון וההצדקות.</w:t>
      </w:r>
    </w:p>
    <w:p>
      <w:pPr>
        <w:pStyle w:val="Heading2"/>
        <w:bidi/>
        <w:spacing w:after="120" w:before="240" w:line="360"/>
        <w:jc w:val="right"/>
      </w:pPr>
      <w:r>
        <w:rPr>
          <w:rFonts w:ascii="David" w:cs="David" w:eastAsia="David" w:hAnsi="David"/>
          <w:b/>
          <w:bCs/>
          <w:color w:val="000000"/>
          <w:sz w:val="26"/>
          <w:szCs w:val="26"/>
          <w:rtl/>
        </w:rPr>
        <w:t xml:space="preserve">3.3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3.4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3.5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3.6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(לרנאו, 2023).</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3.7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מ-27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בעיקר משום שהבנות בהן עוברות מעט יותר עבירות, ובמידת מה גם משום שהבנים עוברים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ובראשם הקשר להורים והפיקוח ההורי, בהסבר הפער המגדרי בעבריינות נוער. ממצאיה מורכבים: בנים דיווחו על יותר עבריינות, ונמצאו הבדלים מגדריים ברורים הן ברמות משתני המשפחה הן בקשרים שבינם לבין עבריינות; ואולם, בניגוד לציפייה התיאורטית, משתני המשפחה לבדם לא הצליחו להסביר את הפער המגדרי. הממצא חשוב דווקא במורכבותו: הוא מלמד שהפיקוח המשפחתי הוא חלק מן התמונה אך אינו כולה, ושנדרש הסבר רב-ממדי המשלב גם נורמות מופנמות, הזדמנויות ותהליכים פנימיים, ברוח התיאוריות שהוצגו בפרק השלישי.</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2"/>
        <w:bidi/>
        <w:spacing w:after="120" w:before="240" w:line="360"/>
        <w:jc w:val="right"/>
      </w:pPr>
      <w:r>
        <w:rPr>
          <w:rFonts w:ascii="David" w:cs="David" w:eastAsia="David" w:hAnsi="David"/>
          <w:b/>
          <w:bCs/>
          <w:color w:val="000000"/>
          <w:sz w:val="26"/>
          <w:szCs w:val="26"/>
          <w:rtl/>
        </w:rPr>
        <w:t xml:space="preserve">4.5 חדילה נשית מפשיעה</w:t>
      </w:r>
    </w:p>
    <w:p>
      <w:pPr>
        <w:bidi/>
        <w:spacing w:after="160" w:before="0" w:line="360"/>
        <w:jc w:val="both"/>
      </w:pPr>
      <w:r>
        <w:rPr>
          <w:rFonts w:ascii="David" w:cs="David" w:eastAsia="David" w:hAnsi="David"/>
          <w:sz w:val="24"/>
          <w:szCs w:val="24"/>
          <w:rtl/>
        </w:rPr>
        <w:t xml:space="preserve">ענף מחקר עדכני נוסף בוחן את הצד השני של המטבע: לא מדוע נשים נכנסות לעבריינות, אלא כיצד הן יוצאות ממנה. רודרמונד ועמיתיה (Rodermond et al., 2016) סקרו 44 מחקרים על חדילה נשית מפשיעה ומצאו כי התיאוריות שפותחו על גברים ישימות ברובן גם לנשים, אך משקלם של הגורמים שונה: אצל נשים בולטים במיוחד הילדים והקשרים התומכים, לצד עצמאות כלכלית, הימנעות מסמים ותחושת מסוגלות אישית. במילים אחרות, אותם גורמי קשר ומחויבות שממתנים את כניסתן של נשים לעבריינות הם גם המנוף המרכזי ליציאתן ממנה.</w:t>
      </w:r>
    </w:p>
    <w:p>
      <w:pPr>
        <w:bidi/>
        <w:spacing w:after="160" w:before="0" w:line="360"/>
        <w:jc w:val="both"/>
      </w:pPr>
      <w:r>
        <w:rPr>
          <w:rFonts w:ascii="David" w:cs="David" w:eastAsia="David" w:hAnsi="David"/>
          <w:sz w:val="24"/>
          <w:szCs w:val="24"/>
          <w:rtl/>
        </w:rPr>
        <w:t xml:space="preserve">מחקר המשך רחב היקף עקב אחר 1,478 נשים ששוחררו ממאסר בהולנד לאורך שבע שנים (Rodermond et al., 2023). ממצאיו מפכחים: תהליכי שינוי פנימיים והון חברתי אכן מקדמים חדילה, אולם מצוקת משאבים קשה לאחר השחרור, עוני, חוב והיעדר דיור, מערערת את התהליך גם אצל נשים שכבר החלו בו. ממצאים אלה מתכתבים במישרין עם שני צירים בעבודה זו: עם תפיסת התשובה שנדונה בפרק השני, הרואה בשיבה מן העבירה תהליך התלוי בקשר, בקהילה ובמשמעות, ועם ההמלצה היישומית שתפורט בפרק החמישי בדבר שיקום מגדרי-רגיש המלווה גם בתמיכה חומרית.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ההבדלים בין הגישות: נקודות מחלוקת והערכה ביקורתית</w:t>
      </w:r>
    </w:p>
    <w:p>
      <w:pPr>
        <w:bidi/>
        <w:spacing w:after="160" w:before="0" w:line="360"/>
        <w:jc w:val="both"/>
      </w:pPr>
      <w:r>
        <w:rPr>
          <w:rFonts w:ascii="David" w:cs="David" w:eastAsia="David" w:hAnsi="David"/>
          <w:sz w:val="24"/>
          <w:szCs w:val="24"/>
          <w:rtl/>
        </w:rPr>
        <w:t xml:space="preserve">קודם לבחינת המתחים, נדרש מיפוי של ההבדלים היסודיים בין שתי הגישות, בשלושה ממדים. בממד תמונת העבריינית: הקרימינולוגיה המודרנית רואה בה בראש ובראשונה תוצר של נסיבות, מבנים והזדמנויות, ואילו היהדות רואה בה סובייקט מוסרי בעל בחירה, שנסיבותיו מקילות אך אינן פוטרות. בממד יחידת הניתוח: הקרימינולוגיה מנתחת אוכלוסיות, שיעורים ומגמות, והיהדות מתבוננת בנפש היחיד ובקהילה המקיפה אותה. בממד תכלית התגובה לעבירה: הקרימינולוגיה שואפת להסביר, לנבא ולמנוע, ואילו היהדות שואפת לתקן, להשיב את החוטאת בתשובה ולרפא את הקרע החברתי שיצרה העבירה (בן יאיר, 2021; Ben Yair, 2021). הבדלים אלה אינם סותרים את נקודות המפגש שנסקרו לעיל אלא מסבירים את מקורן: שתי המערכות מגיעות למנגנונים דומים מתוך נקודות מוצא שונות בתכלית, וההבדלים הם שמזינים את המתחים שיוצגו כעת.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המשפחה חשובים אך אינם מסבירים לבדם את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w:t>
      </w:r>
      <w:r>
        <w:rPr>
          <w:rFonts w:ascii="David" w:cs="David" w:eastAsia="David" w:hAnsi="David"/>
          <w:b/>
          <w:bCs/>
          <w:sz w:val="24"/>
          <w:szCs w:val="24"/>
          <w:rtl/>
        </w:rPr>
        <w:t xml:space="preserve">סוגיות חברתיות בישראל, 30</w:t>
      </w:r>
      <w:r>
        <w:rPr>
          <w:rFonts w:ascii="David" w:cs="David" w:eastAsia="David" w:hAnsi="David"/>
          <w:sz w:val="24"/>
          <w:szCs w:val="24"/>
          <w:rtl/>
        </w:rPr>
        <w:t xml:space="preserve">(2),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w:t>
      </w:r>
      <w:r>
        <w:rPr>
          <w:rFonts w:ascii="David" w:cs="David" w:eastAsia="David" w:hAnsi="David"/>
          <w:b/>
          <w:bCs/>
          <w:sz w:val="24"/>
          <w:szCs w:val="24"/>
          <w:rtl/>
        </w:rPr>
        <w:t xml:space="preserve">משפט וממשל, כה</w:t>
      </w:r>
      <w:r>
        <w:rPr>
          <w:rFonts w:ascii="David" w:cs="David" w:eastAsia="David" w:hAnsi="David"/>
          <w:sz w:val="24"/>
          <w:szCs w:val="24"/>
          <w:rtl/>
        </w:rPr>
        <w:t xml:space="preserve">,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w:t>
      </w:r>
      <w:r>
        <w:rPr>
          <w:rFonts w:ascii="David" w:cs="David" w:eastAsia="David" w:hAnsi="David"/>
          <w:b/>
          <w:bCs/>
          <w:sz w:val="24"/>
          <w:szCs w:val="24"/>
          <w:rtl/>
        </w:rPr>
        <w:t xml:space="preserve">משפטים, מט</w:t>
      </w:r>
      <w:r>
        <w:rPr>
          <w:rFonts w:ascii="David" w:cs="David" w:eastAsia="David" w:hAnsi="David"/>
          <w:sz w:val="24"/>
          <w:szCs w:val="24"/>
          <w:rtl/>
        </w:rPr>
        <w:t xml:space="preserve">, 673-619.</w:t>
      </w:r>
    </w:p>
    <w:p>
      <w:pPr>
        <w:bidi/>
        <w:spacing w:after="160" w:line="360"/>
        <w:ind w:left="709" w:hanging="709"/>
        <w:jc w:val="right"/>
      </w:pPr>
      <w:r>
        <w:rPr>
          <w:rFonts w:ascii="David" w:cs="David" w:eastAsia="David" w:hAnsi="David"/>
          <w:sz w:val="24"/>
          <w:szCs w:val="24"/>
          <w:rtl/>
        </w:rPr>
        <w:t xml:space="preserve">יכימוביץ-כהן, נ' (2017). </w:t>
      </w:r>
      <w:r>
        <w:rPr>
          <w:rFonts w:ascii="David" w:cs="David" w:eastAsia="David" w:hAnsi="David"/>
          <w:b/>
          <w:bCs/>
          <w:sz w:val="24"/>
          <w:szCs w:val="24"/>
          <w:rtl/>
        </w:rPr>
        <w:t xml:space="preserve">היבטים בכליאת נשים בישראל</w:t>
      </w:r>
      <w:r>
        <w:rPr>
          <w:rFonts w:ascii="David" w:cs="David" w:eastAsia="David" w:hAnsi="David"/>
          <w:sz w:val="24"/>
          <w:szCs w:val="24"/>
          <w:rtl/>
        </w:rPr>
        <w:t xml:space="preserve">.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w:t>
      </w:r>
      <w:r>
        <w:rPr>
          <w:rFonts w:ascii="David" w:cs="David" w:eastAsia="David" w:hAnsi="David"/>
          <w:b/>
          <w:bCs/>
          <w:sz w:val="24"/>
          <w:szCs w:val="24"/>
          <w:rtl/>
        </w:rPr>
        <w:t xml:space="preserve">משטרה והיסטוריה, 3</w:t>
      </w:r>
      <w:r>
        <w:rPr>
          <w:rFonts w:ascii="David" w:cs="David" w:eastAsia="David" w:hAnsi="David"/>
          <w:sz w:val="24"/>
          <w:szCs w:val="24"/>
          <w:rtl/>
        </w:rPr>
        <w:t xml:space="preserve">, 154-109.</w:t>
      </w:r>
    </w:p>
    <w:p>
      <w:pPr>
        <w:bidi/>
        <w:spacing w:after="160" w:line="360"/>
        <w:ind w:left="709" w:hanging="709"/>
        <w:jc w:val="right"/>
      </w:pPr>
      <w:r>
        <w:rPr>
          <w:rFonts w:ascii="David" w:cs="David" w:eastAsia="David" w:hAnsi="David"/>
          <w:sz w:val="24"/>
          <w:szCs w:val="24"/>
          <w:rtl/>
        </w:rPr>
        <w:t xml:space="preserve">לרנאו, ח' (2023). </w:t>
      </w:r>
      <w:r>
        <w:rPr>
          <w:rFonts w:ascii="David" w:cs="David" w:eastAsia="David" w:hAnsi="David"/>
          <w:b/>
          <w:bCs/>
          <w:sz w:val="24"/>
          <w:szCs w:val="24"/>
          <w:rtl/>
        </w:rPr>
        <w:t xml:space="preserve">עבריינות ואכיפת החוק: תיאוריה, מדיניות וביקורת</w:t>
      </w:r>
      <w:r>
        <w:rPr>
          <w:rFonts w:ascii="David" w:cs="David" w:eastAsia="David" w:hAnsi="David"/>
          <w:sz w:val="24"/>
          <w:szCs w:val="24"/>
          <w:rtl/>
        </w:rPr>
        <w:t xml:space="preserve">. פרדס.</w:t>
      </w:r>
    </w:p>
    <w:p>
      <w:pPr>
        <w:bidi/>
        <w:spacing w:after="160" w:line="360"/>
        <w:ind w:left="709" w:hanging="709"/>
        <w:jc w:val="right"/>
      </w:pPr>
      <w:r>
        <w:rPr>
          <w:rFonts w:ascii="David" w:cs="David" w:eastAsia="David" w:hAnsi="David"/>
          <w:sz w:val="24"/>
          <w:szCs w:val="24"/>
          <w:rtl/>
        </w:rPr>
        <w:t xml:space="preserve">פרישטוק, מ' (2019). </w:t>
      </w:r>
      <w:r>
        <w:rPr>
          <w:rFonts w:ascii="David" w:cs="David" w:eastAsia="David" w:hAnsi="David"/>
          <w:b/>
          <w:bCs/>
          <w:sz w:val="24"/>
          <w:szCs w:val="24"/>
          <w:rtl/>
        </w:rPr>
        <w:t xml:space="preserve">ויקטימולוגיה ויהדות: תיאוריה, טיפולוגיה, טיפול, מדיניות ויישום</w:t>
      </w:r>
      <w:r>
        <w:rPr>
          <w:rFonts w:ascii="David" w:cs="David" w:eastAsia="David" w:hAnsi="David"/>
          <w:sz w:val="24"/>
          <w:szCs w:val="24"/>
          <w:rtl/>
        </w:rPr>
        <w:t xml:space="preserve">.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w:t>
      </w:r>
      <w:r>
        <w:rPr>
          <w:rFonts w:ascii="David" w:cs="David" w:eastAsia="David" w:hAnsi="David"/>
          <w:b/>
          <w:bCs/>
          <w:sz w:val="24"/>
          <w:szCs w:val="24"/>
          <w:rtl/>
        </w:rPr>
        <w:t xml:space="preserve">דפים לחקר השואה, לו</w:t>
      </w:r>
      <w:r>
        <w:rPr>
          <w:rFonts w:ascii="David" w:cs="David" w:eastAsia="David" w:hAnsi="David"/>
          <w:sz w:val="24"/>
          <w:szCs w:val="24"/>
          <w:rtl/>
        </w:rPr>
        <w:t xml:space="preserve">,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w:t>
      </w:r>
      <w:r>
        <w:rPr>
          <w:rFonts w:ascii="Times New Roman" w:cs="Times New Roman" w:eastAsia="Times New Roman" w:hAnsi="Times New Roman"/>
          <w:i/>
          <w:iCs/>
          <w:sz w:val="24"/>
          <w:szCs w:val="24"/>
        </w:rPr>
        <w:t xml:space="preserve">Sociology of Religion, 78</w:t>
      </w:r>
      <w:r>
        <w:rPr>
          <w:rFonts w:ascii="Times New Roman" w:cs="Times New Roman" w:eastAsia="Times New Roman" w:hAnsi="Times New Roman"/>
          <w:sz w:val="24"/>
          <w:szCs w:val="24"/>
        </w:rPr>
        <w:t xml:space="preserve">(2),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w:t>
      </w:r>
      <w:r>
        <w:rPr>
          <w:rFonts w:ascii="Times New Roman" w:cs="Times New Roman" w:eastAsia="Times New Roman" w:hAnsi="Times New Roman"/>
          <w:i/>
          <w:iCs/>
          <w:sz w:val="24"/>
          <w:szCs w:val="24"/>
        </w:rPr>
        <w:t xml:space="preserve">European Economic Review, 109</w:t>
      </w:r>
      <w:r>
        <w:rPr>
          <w:rFonts w:ascii="Times New Roman" w:cs="Times New Roman" w:eastAsia="Times New Roman" w:hAnsi="Times New Roman"/>
          <w:sz w:val="24"/>
          <w:szCs w:val="24"/>
        </w:rPr>
        <w:t xml:space="preserve">,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w:t>
      </w:r>
      <w:r>
        <w:rPr>
          <w:rFonts w:ascii="Times New Roman" w:cs="Times New Roman" w:eastAsia="Times New Roman" w:hAnsi="Times New Roman"/>
          <w:i/>
          <w:iCs/>
          <w:sz w:val="24"/>
          <w:szCs w:val="24"/>
        </w:rPr>
        <w:t xml:space="preserve">Journal of Offender Rehabilitation, 60</w:t>
      </w:r>
      <w:r>
        <w:rPr>
          <w:rFonts w:ascii="Times New Roman" w:cs="Times New Roman" w:eastAsia="Times New Roman" w:hAnsi="Times New Roman"/>
          <w:sz w:val="24"/>
          <w:szCs w:val="24"/>
        </w:rPr>
        <w:t xml:space="preserve">(1),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w:t>
      </w:r>
      <w:r>
        <w:rPr>
          <w:rFonts w:ascii="Times New Roman" w:cs="Times New Roman" w:eastAsia="Times New Roman" w:hAnsi="Times New Roman"/>
          <w:i/>
          <w:iCs/>
          <w:sz w:val="24"/>
          <w:szCs w:val="24"/>
        </w:rPr>
        <w:t xml:space="preserve">IZA World of Labor, 105</w:t>
      </w:r>
      <w:r>
        <w:rPr>
          <w:rFonts w:ascii="Times New Roman" w:cs="Times New Roman" w:eastAsia="Times New Roman" w:hAnsi="Times New Roman"/>
          <w:sz w:val="24"/>
          <w:szCs w:val="24"/>
        </w:rPr>
        <w:t xml:space="preserve">(2),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w:t>
      </w:r>
      <w:r>
        <w:rPr>
          <w:rFonts w:ascii="Times New Roman" w:cs="Times New Roman" w:eastAsia="Times New Roman" w:hAnsi="Times New Roman"/>
          <w:i/>
          <w:iCs/>
          <w:sz w:val="24"/>
          <w:szCs w:val="24"/>
        </w:rPr>
        <w:t xml:space="preserve">British Journal of Criminology, 56</w:t>
      </w:r>
      <w:r>
        <w:rPr>
          <w:rFonts w:ascii="Times New Roman" w:cs="Times New Roman" w:eastAsia="Times New Roman" w:hAnsi="Times New Roman"/>
          <w:sz w:val="24"/>
          <w:szCs w:val="24"/>
        </w:rPr>
        <w:t xml:space="preserve">(6),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w:t>
      </w:r>
      <w:r>
        <w:rPr>
          <w:rFonts w:ascii="Times New Roman" w:cs="Times New Roman" w:eastAsia="Times New Roman" w:hAnsi="Times New Roman"/>
          <w:i/>
          <w:iCs/>
          <w:sz w:val="24"/>
          <w:szCs w:val="24"/>
        </w:rPr>
        <w:t xml:space="preserve">Journal of Interpersonal Violence, 38</w:t>
      </w:r>
      <w:r>
        <w:rPr>
          <w:rFonts w:ascii="Times New Roman" w:cs="Times New Roman" w:eastAsia="Times New Roman" w:hAnsi="Times New Roman"/>
          <w:sz w:val="24"/>
          <w:szCs w:val="24"/>
        </w:rPr>
        <w:t xml:space="preserve">(11-12),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w:t>
      </w:r>
      <w:r>
        <w:rPr>
          <w:rFonts w:ascii="Times New Roman" w:cs="Times New Roman" w:eastAsia="Times New Roman" w:hAnsi="Times New Roman"/>
          <w:i/>
          <w:iCs/>
          <w:sz w:val="24"/>
          <w:szCs w:val="24"/>
        </w:rPr>
        <w:t xml:space="preserve">Feminist Criminology, 11</w:t>
      </w:r>
      <w:r>
        <w:rPr>
          <w:rFonts w:ascii="Times New Roman" w:cs="Times New Roman" w:eastAsia="Times New Roman" w:hAnsi="Times New Roman"/>
          <w:sz w:val="24"/>
          <w:szCs w:val="24"/>
        </w:rPr>
        <w:t xml:space="preserve">(4),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w:t>
      </w:r>
      <w:r>
        <w:rPr>
          <w:rFonts w:ascii="Times New Roman" w:cs="Times New Roman" w:eastAsia="Times New Roman" w:hAnsi="Times New Roman"/>
          <w:i/>
          <w:iCs/>
          <w:sz w:val="24"/>
          <w:szCs w:val="24"/>
        </w:rPr>
        <w:t xml:space="preserve">Child Indicators Research, 10</w:t>
      </w:r>
      <w:r>
        <w:rPr>
          <w:rFonts w:ascii="Times New Roman" w:cs="Times New Roman" w:eastAsia="Times New Roman" w:hAnsi="Times New Roman"/>
          <w:sz w:val="24"/>
          <w:szCs w:val="24"/>
        </w:rPr>
        <w:t xml:space="preserve">(4),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Rodermond, E., Kruttschnitt, C., Slotboom, A.-M., &amp; Bijleveld, C. C. J. H. (2016). Female desistance: A review of the literature. </w:t>
      </w:r>
      <w:r>
        <w:rPr>
          <w:rFonts w:ascii="Times New Roman" w:cs="Times New Roman" w:eastAsia="Times New Roman" w:hAnsi="Times New Roman"/>
          <w:i/>
          <w:iCs/>
          <w:sz w:val="24"/>
          <w:szCs w:val="24"/>
        </w:rPr>
        <w:t xml:space="preserve">European Journal of Criminology, 13</w:t>
      </w:r>
      <w:r>
        <w:rPr>
          <w:rFonts w:ascii="Times New Roman" w:cs="Times New Roman" w:eastAsia="Times New Roman" w:hAnsi="Times New Roman"/>
          <w:sz w:val="24"/>
          <w:szCs w:val="24"/>
        </w:rPr>
        <w:t xml:space="preserve">(1), 3-28. https://doi.org/10.1177/1477370815597251</w:t>
      </w:r>
    </w:p>
    <w:p>
      <w:pPr>
        <w:bidi w:val="false"/>
        <w:spacing w:after="160" w:line="360"/>
        <w:ind w:left="709" w:hanging="709"/>
        <w:jc w:val="left"/>
      </w:pPr>
      <w:r>
        <w:rPr>
          <w:rFonts w:ascii="Times New Roman" w:cs="Times New Roman" w:eastAsia="Times New Roman" w:hAnsi="Times New Roman"/>
          <w:sz w:val="24"/>
          <w:szCs w:val="24"/>
        </w:rPr>
        <w:t xml:space="preserve">Rodermond, E., Van de Weijer, S., Lindegaard, M. R., Bijleveld, C. C. J. H., Slotboom, A.-M., &amp; Kruttschnitt, C. (2023). Out of prison, out of crime? The complex interplay between the process of desistance and severe resource disadvantages in women's post-release lives. </w:t>
      </w:r>
      <w:r>
        <w:rPr>
          <w:rFonts w:ascii="Times New Roman" w:cs="Times New Roman" w:eastAsia="Times New Roman" w:hAnsi="Times New Roman"/>
          <w:i/>
          <w:iCs/>
          <w:sz w:val="24"/>
          <w:szCs w:val="24"/>
        </w:rPr>
        <w:t xml:space="preserve">European Journal of Criminology, 20</w:t>
      </w:r>
      <w:r>
        <w:rPr>
          <w:rFonts w:ascii="Times New Roman" w:cs="Times New Roman" w:eastAsia="Times New Roman" w:hAnsi="Times New Roman"/>
          <w:sz w:val="24"/>
          <w:szCs w:val="24"/>
        </w:rPr>
        <w:t xml:space="preserve">(6), 1852-1877. https://doi.org/10.1177/14773708221097667</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w:t>
      </w:r>
      <w:r>
        <w:rPr>
          <w:rFonts w:ascii="Times New Roman" w:cs="Times New Roman" w:eastAsia="Times New Roman" w:hAnsi="Times New Roman"/>
          <w:i/>
          <w:iCs/>
          <w:sz w:val="24"/>
          <w:szCs w:val="24"/>
        </w:rPr>
        <w:t xml:space="preserve">Criminology, 55</w:t>
      </w:r>
      <w:r>
        <w:rPr>
          <w:rFonts w:ascii="Times New Roman" w:cs="Times New Roman" w:eastAsia="Times New Roman" w:hAnsi="Times New Roman"/>
          <w:sz w:val="24"/>
          <w:szCs w:val="24"/>
        </w:rPr>
        <w:t xml:space="preserve">(4),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w:t>
      </w:r>
      <w:r>
        <w:rPr>
          <w:rFonts w:ascii="Times New Roman" w:cs="Times New Roman" w:eastAsia="Times New Roman" w:hAnsi="Times New Roman"/>
          <w:i/>
          <w:iCs/>
          <w:sz w:val="24"/>
          <w:szCs w:val="24"/>
        </w:rPr>
        <w:t xml:space="preserve">Journal of Social Science Studies, 4</w:t>
      </w:r>
      <w:r>
        <w:rPr>
          <w:rFonts w:ascii="Times New Roman" w:cs="Times New Roman" w:eastAsia="Times New Roman" w:hAnsi="Times New Roman"/>
          <w:sz w:val="24"/>
          <w:szCs w:val="24"/>
        </w:rPr>
        <w:t xml:space="preserve">(2),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w:t>
      </w:r>
      <w:r>
        <w:rPr>
          <w:rFonts w:ascii="Times New Roman" w:cs="Times New Roman" w:eastAsia="Times New Roman" w:hAnsi="Times New Roman"/>
          <w:i/>
          <w:iCs/>
          <w:sz w:val="24"/>
          <w:szCs w:val="24"/>
        </w:rPr>
        <w:t xml:space="preserve">Crime and Justice, 53</w:t>
      </w:r>
      <w:r>
        <w:rPr>
          <w:rFonts w:ascii="Times New Roman" w:cs="Times New Roman" w:eastAsia="Times New Roman" w:hAnsi="Times New Roman"/>
          <w:sz w:val="24"/>
          <w:szCs w:val="24"/>
        </w:rPr>
        <w:t xml:space="preserve">.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2026-08-22T07:52:49.174Z</dcterms:created>
  <dcterms:modified xsi:type="dcterms:W3CDTF">2026-08-22T07:52:49.175Z</dcterms:modified>
</cp:coreProperties>
</file>

<file path=docProps/custom.xml><?xml version="1.0" encoding="utf-8"?>
<Properties xmlns="http://schemas.openxmlformats.org/officeDocument/2006/custom-properties" xmlns:vt="http://schemas.openxmlformats.org/officeDocument/2006/docPropsVTypes"/>
</file>