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400" w:after="300"/>
      </w:pPr>
      <w:r>
        <w:rPr>
          <w:noProof/>
        </w:rPr>
        <w:drawing>
          <wp:inline xmlns:wp="http://schemas.openxmlformats.org/drawingml/2006/wordprocessingDrawing" distT="0" distB="0" distL="0" distR="0">
            <wp:extent cx="1333500" cy="1333500"/>
            <wp:docPr id="900" name="logo"/>
            <a:graphic xmlns:a="http://schemas.openxmlformats.org/drawingml/2006/main">
              <a:graphicData uri="http://schemas.openxmlformats.org/drawingml/2006/picture">
                <pic:pic xmlns:pic="http://schemas.openxmlformats.org/drawingml/2006/picture">
                  <pic:nvPicPr>
                    <pic:cNvPr id="900" name="logo.png"/>
                    <pic:cNvPicPr/>
                  </pic:nvPicPr>
                  <pic:blipFill>
                    <a:blip xmlns:r="http://schemas.openxmlformats.org/officeDocument/2006/relationships" r:embed="rIdLogo"/>
                    <a:stretch>
                      <a:fillRect/>
                    </a:stretch>
                  </pic:blipFill>
                  <pic:spPr>
                    <a:xfrm>
                      <a:off x="0" y="0"/>
                      <a:ext cx="1333500" cy="1333500"/>
                    </a:xfrm>
                    <a:prstGeom prst="rect">
                      <a:avLst/>
                    </a:prstGeom>
                  </pic:spPr>
                </pic:pic>
              </a:graphicData>
            </a:graphic>
          </wp:inline>
        </w:drawing>
      </w:r>
    </w:p>
    <w:p>
      <w:pPr>
        <w:bidi/>
        <w:jc w:val="center"/>
        <w:spacing w:after="400"/>
        <w:rPr>
          <w:rtl/>
        </w:rPr>
      </w:pPr>
      <w:r>
        <w:rPr>
          <w:rFonts w:hint="cs"/>
          <w:b/>
          <w:bCs/>
          <w:sz w:val="30"/>
          <w:szCs w:val="30"/>
          <w:rtl/>
        </w:rPr>
        <w:t xml:space="preserve">סמינר הקיבוצים, המכללה לחינוך, לטכנולוגיה ולאמנויות</w:t>
      </w:r>
    </w:p>
    <w:p>
      <w:pPr>
        <w:bidi/>
        <w:jc w:val="center"/>
        <w:spacing w:after="200"/>
        <w:rPr>
          <w:rtl/>
        </w:rPr>
      </w:pPr>
      <w:r>
        <w:rPr>
          <w:rFonts w:hint="cs"/>
          <w:b/>
          <w:bCs/>
          <w:u w:val="single"/>
          <w:sz w:val="40"/>
          <w:szCs w:val="40"/>
          <w:rtl/>
        </w:rPr>
        <w:t xml:space="preserve">מערך שיעור במתמטיקה</w:t>
      </w:r>
    </w:p>
    <w:p>
      <w:pPr>
        <w:bidi/>
        <w:jc w:val="center"/>
        <w:spacing w:after="500"/>
        <w:rPr>
          <w:rtl/>
        </w:rPr>
      </w:pPr>
      <w:r>
        <w:rPr>
          <w:rFonts w:hint="cs"/>
          <w:sz w:val="26"/>
          <w:szCs w:val="26"/>
          <w:rtl/>
        </w:rPr>
        <w:t xml:space="preserve">שיעור מס' 1 בתוכנית ההתערבות: המרה, "סוד ההחלפה"</w:t>
      </w:r>
    </w:p>
    <w:p>
      <w:pPr>
        <w:bidi/>
        <w:jc w:val="center"/>
        <w:spacing w:after="120"/>
        <w:rPr>
          <w:rtl/>
        </w:rPr>
      </w:pPr>
      <w:r>
        <w:rPr>
          <w:rFonts w:hint="cs"/>
          <w:sz w:val="26"/>
          <w:szCs w:val="26"/>
          <w:rtl/>
        </w:rPr>
        <w:t xml:space="preserve">המרצה: מאיה קובה שלוש</w:t>
      </w:r>
    </w:p>
    <w:p>
      <w:pPr>
        <w:bidi/>
        <w:jc w:val="center"/>
        <w:spacing w:after="120"/>
        <w:rPr>
          <w:rtl/>
        </w:rPr>
      </w:pPr>
      <w:r>
        <w:rPr>
          <w:rFonts w:hint="cs"/>
          <w:b/>
          <w:bCs/>
          <w:sz w:val="26"/>
          <w:szCs w:val="26"/>
          <w:rtl/>
        </w:rPr>
        <w:t xml:space="preserve">שם המגישה: הנאדי סאלם</w:t>
      </w:r>
    </w:p>
    <w:p>
      <w:pPr>
        <w:bidi/>
        <w:jc w:val="center"/>
        <w:spacing w:after="500"/>
        <w:rPr>
          <w:rtl/>
        </w:rPr>
      </w:pPr>
      <w:r>
        <w:rPr>
          <w:rFonts w:hint="cs"/>
          <w:sz w:val="26"/>
          <w:szCs w:val="26"/>
          <w:rtl/>
        </w:rPr>
        <w:t xml:space="preserve">ת.ז. 302497789</w:t>
      </w:r>
    </w:p>
    <w:p>
      <w:pPr>
        <w:bidi/>
        <w:jc w:val="center"/>
        <w:spacing w:after="120"/>
        <w:rPr>
          <w:rtl/>
        </w:rPr>
      </w:pPr>
      <w:r>
        <w:rPr>
          <w:rFonts w:hint="cs"/>
          <w:sz w:val="24"/>
          <w:szCs w:val="24"/>
          <w:rtl/>
        </w:rPr>
        <w:t xml:space="preserve">אלול התשפ"ו, אוגוסט 2026</w:t>
      </w:r>
    </w:p>
    <w:p>
      <w:r>
        <w:br w:type="page"/>
      </w:r>
    </w:p>
    <w:p w:rsidR="001F69C4" w:rsidRPr="00937FC1" w:rsidRDefault="00937FC1" w:rsidP="00937FC1">
      <w:pPr>
        <w:jc w:val="center"/>
        <w:rPr>
          <w:u w:val="single"/>
          <w:rtl/>
        </w:rPr>
      </w:pPr>
      <w:r w:rsidRPr="00937FC1">
        <w:rPr>
          <w:rFonts w:hint="cs"/>
          <w:u w:val="single"/>
          <w:rtl/>
        </w:rPr>
        <w:t>מערך שיעור:</w:t>
      </w:r>
    </w:p>
    <w:p>
      <w:pPr>
        <w:bidi/>
        <w:jc w:val="both"/>
        <w:rPr>
          <w:rtl/>
        </w:rPr>
      </w:pPr>
      <w:r>
        <w:rPr>
          <w:rFonts w:hint="cs"/>
          <w:b/>
          <w:bCs/>
          <w:rtl/>
        </w:rPr>
        <w:t xml:space="preserve">נושא השיעור: "סוד ההחלפה", המרה: 10 אחדות = עשרת אחת. שיעור מס' 1 בתוכנית העבודה של יובל (שם בדוי), תלמיד העולה לכיתה ג'. מפגש פרטני, 45 דק'. השיעור יועבר בתחילת שנת הלימודים, ספטמבר. המורה: הנאדי סאלם.</w:t>
      </w:r>
    </w:p>
    <w:p>
      <w:pPr>
        <w:bidi/>
        <w:jc w:val="both"/>
        <w:rPr>
          <w:rtl/>
        </w:rPr>
      </w:pPr>
      <w:r>
        <w:rPr>
          <w:rFonts w:hint="cs"/>
          <w:rtl/>
        </w:rPr>
        <w:t xml:space="preserve">שם המגישה: הנאדי סאלם, ת.ז. 302497789. סמינר הקיבוצים, המכללה לחינוך, לטכנולוגיה ולאמנויות.</w:t>
      </w:r>
    </w:p>
    <w:p>
      <w:pPr>
        <w:bidi/>
        <w:jc w:val="both"/>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jc w:val="both"/>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both"/>
        <w:rPr>
          <w:rtl/>
        </w:rPr>
      </w:pPr>
      <w:r>
        <w:rPr>
          <w:rFonts w:hint="cs"/>
          <w:rtl/>
        </w:rPr>
        <w:t xml:space="preserve">1. התלמיד יבין את המבנה העשרוני של המספרים בתחום ה-100.</w:t>
      </w:r>
    </w:p>
    <w:p>
      <w:pPr>
        <w:bidi/>
        <w:jc w:val="both"/>
        <w:rPr>
          <w:rtl/>
        </w:rPr>
      </w:pPr>
      <w:r>
        <w:rPr>
          <w:rFonts w:hint="cs"/>
          <w:rtl/>
        </w:rPr>
        <w:t xml:space="preserve">2. התלמיד יבין את עקרון שימור הכמות: הכמות נשמרת גם כאשר הייצוג שלה משתנה.</w:t>
      </w:r>
    </w:p>
    <w:p>
      <w:pPr>
        <w:bidi/>
        <w:jc w:val="both"/>
        <w:rPr>
          <w:rtl/>
        </w:rPr>
      </w:pPr>
      <w:r>
        <w:rPr>
          <w:rFonts w:hint="cs"/>
          <w:rtl/>
        </w:rPr>
        <w:t xml:space="preserve">3. התלמיד יבצע המרה של אחדות לעשרות במגוון ייצוגים.</w:t>
      </w:r>
    </w:p>
    <w:p>
      <w:pPr>
        <w:bidi/>
        <w:jc w:val="both"/>
        <w:rPr>
          <w:rtl/>
        </w:rPr>
      </w:pPr>
      <w:r>
        <w:rPr>
          <w:rFonts w:hint="cs"/>
          <w:rtl/>
        </w:rPr>
        <w:t xml:space="preserve">4. התלמיד יתקדם ברצף דרגי ההוראה, מייצוג מוחשי דרך ייצוג תמונתי לייצוג סמלי.</w:t>
      </w:r>
    </w:p>
    <w:p>
      <w:pPr>
        <w:bidi/>
        <w:jc w:val="both"/>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jc w:val="both"/>
        <w:rPr>
          <w:rtl/>
        </w:rPr>
      </w:pPr>
      <w:r>
        <w:rPr>
          <w:rFonts w:hint="cs"/>
          <w:rtl/>
        </w:rPr>
        <w:t xml:space="preserve">1. התלמיד ימיר 10 בדידי אחדות במוט עשרת ויאמר כמה עשרות וכמה אחדות התקבלו, בהצלחה ב-4 מתוך 5 מקרים לפחות.</w:t>
      </w:r>
    </w:p>
    <w:p>
      <w:pPr>
        <w:bidi/>
        <w:jc w:val="both"/>
        <w:rPr>
          <w:rtl/>
        </w:rPr>
      </w:pPr>
      <w:r>
        <w:rPr>
          <w:rFonts w:hint="cs"/>
          <w:rtl/>
        </w:rPr>
        <w:t xml:space="preserve">2. התלמיד יסביר, תוך כדי פעולת ההחלפה, מדוע הכמות לא השתנתה ("זה אותו דבר, רק מסודר אחרת").</w:t>
      </w:r>
    </w:p>
    <w:p>
      <w:pPr>
        <w:bidi/>
        <w:jc w:val="both"/>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jc w:val="both"/>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jc w:val="both"/>
        <w:rPr>
          <w:rtl/>
        </w:rPr>
      </w:pPr>
      <w:r>
        <w:rPr>
          <w:rFonts w:hint="cs"/>
          <w:rtl/>
        </w:rPr>
        <w:t xml:space="preserve">5. התלמיד ישלים בכתב משפטי המרה מסוג "10 אחדות = __ עשרת" ו"13 אחדות = __ עשרת ו-__ אחדות", לפחות 4 מתוך 5 נכון.</w:t>
      </w:r>
    </w:p>
    <w:p>
      <w:pPr>
        <w:bidi/>
        <w:jc w:val="both"/>
        <w:rPr>
          <w:rtl/>
        </w:rPr>
      </w:pPr>
      <w:r>
        <w:rPr>
          <w:rFonts w:hint="cs"/>
          <w:rtl/>
        </w:rPr>
        <w:t xml:space="preserve">6. התלמיד יבדוק תשובה אחת לפחות בעצמו באמצעות הבדידים, ללא הנחיה.</w:t>
      </w:r>
    </w:p>
    <w:p>
      <w:pPr>
        <w:bidi/>
        <w:jc w:val="both"/>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זיהוי שוטף של רוב התבניות ופתיחות להמשך השיעור. הרפלקציה תירשם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בהעברה: מהירות זיהוי התבניות, הסבריו של יובל לשאלת "איך ידעת?" ותגובתו לטבלה המצטברת.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jc w:val="right"/>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jc w:val="right"/>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jc w:val="right"/>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בהמרה מתוך הסיפור, ללא הסבר פורמלי.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אופן האריזה של 13 הדסקיות והניסוח שיובל ייתן לתוצאה ("שקית אחת ועוד...").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jc w:val="right"/>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jc w:val="right"/>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jc w:val="right"/>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1 (4 מתוך 5) וירידת תיווך מהדגמה לעשייה עצמאית.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אימות השקילות בהצמדה, ביצוע שלוש ההמרות ומידת העצמאות בכל אחת, והניסוח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jc w:val="right"/>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jc w:val="right"/>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jc w:val="right"/>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2 ו-3. אם יידרש תיווך רב בייצוג הכספי, יתוכנן חיזוק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מהלך ההחלפה בבנק, התשובות לשאלות "כמה היה לך קודם? כמה עכשיו?" והסבר שימור הערך.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jc w:val="right"/>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jc w:val="right"/>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(3 מתוך 4 עצמאית). טעות היפוך, שנצפתה במיפוי, תטופל בשאלה המכוונת ותירשם למעקב.</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הקפת העשיריות והרישום בטבלת עשרות-אחדות בארבעת הסעיפים, כולל טעויות היפוך ספרות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jc w:val="right"/>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jc w:val="right"/>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jc w:val="right"/>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5 ו-6 (לפחות 4 מתוך 5 ובדיקה עצמית אחת). בכל טעות תתועד ירידת הדרג שנדרשה.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ההשלמה הנכונים, התשובה לשאלה ההפוכה, ובדיקות עצמיות יזומות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jc w:val="right"/>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נימוק מילולי לכל התאמה. תגובת התלמיד לתיקון המורה תתועד ברפלקציה כסמן רגשי.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זיווגי הכרטיסים, הנימוקים שיינתנו בקול, והתגובה לטעות המכוונת של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jc w:val="right"/>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jc w:val="right"/>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הניסוח יירשם וישמש עוגן בשיעור הפריטה; לקחים ארגוניים יירשמו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"חוק ההחלפה" במילותיו של יובל, כלשונו, הסימון בטבלה המצטברת ותשובתו לשאלת הגירוי.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jc w:val="right"/>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jc w:val="right"/>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both"/>
        <w:rPr>
          <w:rtl/>
        </w:rPr>
      </w:pPr>
      <w:r>
        <w:rPr>
          <w:rFonts w:hint="cs"/>
          <w:b/>
          <w:bCs/>
          <w:u w:val="single"/>
          <w:rtl/>
        </w:rPr>
        <w:t xml:space="preserve">קשיים צפויים ודרכי מענה:</w:t>
      </w:r>
    </w:p>
    <w:p>
      <w:pPr>
        <w:bidi/>
        <w:jc w:val="both"/>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jc w:val="both"/>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jc w:val="both"/>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jc w:val="both"/>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jc w:val="both"/>
        <w:rPr>
          <w:rtl/>
        </w:rPr>
      </w:pPr>
      <w:r>
        <w:rPr>
          <w:rFonts w:hint="cs"/>
          <w:b/>
          <w:bCs/>
          <w:u w:val="single"/>
          <w:rtl/>
        </w:rPr>
        <w:t xml:space="preserve">התאמות דיפרנציאליות:</w:t>
      </w:r>
    </w:p>
    <w:p>
      <w:pPr>
        <w:bidi/>
        <w:jc w:val="both"/>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jc w:val="both"/>
        <w:rPr>
          <w:rtl/>
        </w:rPr>
      </w:pPr>
      <w:r>
        <w:rPr>
          <w:rFonts w:hint="cs"/>
          <w:b/>
          <w:bCs/>
          <w:u w:val="single"/>
          <w:rtl/>
        </w:rPr>
        <w:t xml:space="preserve">הערכת השגת המטרות:</w:t>
      </w:r>
    </w:p>
    <w:p>
      <w:pPr>
        <w:bidi/>
        <w:jc w:val="both"/>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jc w:val="both"/>
        <w:rPr>
          <w:rtl/>
        </w:rPr>
      </w:pPr>
      <w:r>
        <w:rPr>
          <w:rFonts w:hint="cs"/>
          <w:b/>
          <w:bCs/>
          <w:u w:val="single"/>
          <w:rtl/>
        </w:rPr>
        <w:t xml:space="preserve">רשימת מקורות:</w:t>
      </w:r>
    </w:p>
    <w:p>
      <w:pPr>
        <w:bidi/>
        <w:jc w:val="both"/>
        <w:rPr>
          <w:rtl/>
        </w:rPr>
      </w:pPr>
      <w:r>
        <w:rPr>
          <w:rFonts w:hint="cs"/>
          <w:rtl/>
        </w:rPr>
        <w:t xml:space="preserve">סגל, ד' (ל.ת.). אבחון המספרים השלמים [ערכת אבחון]. חומרי הקורס.</w:t>
      </w:r>
    </w:p>
    <w:p>
      <w:pPr>
        <w:bidi/>
        <w:jc w:val="both"/>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noProof/>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Logo" Type="http://schemas.openxmlformats.org/officeDocument/2006/relationships/image" Target="media/logo.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