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0" w:line="360"/>
        <w:jc w:val="center"/>
      </w:pPr>
      <w:r>
        <w:rPr>
          <w:rFonts w:ascii="David" w:cs="David" w:eastAsia="David" w:hAnsi="David"/>
          <w:b/>
          <w:bCs/>
          <w:sz w:val="32"/>
          <w:szCs w:val="32"/>
          <w:rtl/>
        </w:rPr>
        <w:t xml:space="preserve">מצוקת האבטלה בחברה הערבית: הנתונים, מקורותיהם ומשמעותם</w:t>
      </w:r>
    </w:p>
    <w:p>
      <w:pPr>
        <w:bidi/>
        <w:spacing w:after="200" w:line="360"/>
        <w:jc w:val="both"/>
      </w:pPr>
      <w:r>
        <w:rPr>
          <w:rFonts w:ascii="David" w:cs="David" w:eastAsia="David" w:hAnsi="David"/>
          <w:sz w:val="24"/>
          <w:szCs w:val="24"/>
          <w:rtl/>
        </w:rPr>
        <w:t xml:space="preserve">מסמך זה מרכז את הנתונים העומדים בבסיס פרק תיאור המצוקה בנייר המדיניות, ומציג אותם ככתיבה רציפה: כל נתון משולב בתוך ניתוח שמסביר מה הוא מודד, ממה הוא נובע ומה משתמע ממנו למדיניות. הנתונים מסודרים על ציר הזמן, משנת 2019 ועד תחילת 2025, כדי להראות לא רק שהפער קיים אלא שהוא מחריף, ולאחר מכן נבחנים הפילוחים בתוך החברה הערבית וההסברים המבניים לפער. רשימת המקורות המלאה, עם קישורים, מובאת בסוף המסמך.</w:t>
      </w:r>
    </w:p>
    <w:p>
      <w:pPr>
        <w:pStyle w:val="Heading2"/>
        <w:bidi/>
        <w:spacing w:after="140" w:before="280" w:line="360"/>
        <w:jc w:val="right"/>
      </w:pPr>
      <w:r>
        <w:rPr>
          <w:rFonts w:ascii="David" w:cs="David" w:eastAsia="David" w:hAnsi="David"/>
          <w:b/>
          <w:bCs/>
          <w:color w:val="000000"/>
          <w:sz w:val="26"/>
          <w:szCs w:val="26"/>
          <w:rtl/>
        </w:rPr>
        <w:t xml:space="preserve">מה מודדים ומול מי משווים</w:t>
      </w:r>
    </w:p>
    <w:p>
      <w:pPr>
        <w:bidi/>
        <w:spacing w:after="200" w:line="360"/>
        <w:jc w:val="both"/>
      </w:pPr>
      <w:r>
        <w:rPr>
          <w:rFonts w:ascii="David" w:cs="David" w:eastAsia="David" w:hAnsi="David"/>
          <w:sz w:val="24"/>
          <w:szCs w:val="24"/>
          <w:rtl/>
        </w:rPr>
        <w:t xml:space="preserve">כדי לאמוד את מצוקת התעסוקה של החברה הערבית יש להגדיר תחילה מה נמדד ומול מי משווים. שיעור האבטלה הוא המדד הישיר למצוקה, משום שהוא מונה את מי שמחפשים עבודה באופן פעיל ואינם מוצאים אותה; שיעורי התעסוקה וההשתתפות מתארים רק את היקף הנוכחות בשוק העבודה, ולכן הם משמשים בניתוח זה רקע משלים בלבד (הלשכה המרכזית לסטטיסטיקה, 2023). לצד המדד הצר קיים מדד האבטלה הרחבה, הכולל גם עובדים שנעדרו זמנית מסיבות כלכליות ומיואשים שחדלו לחפש עבודה, והוא חיוני בעיתות משבר, שבהן חלק גדול מהפגיעה אינו נרשם כאבטלה פורמלית. מקור נתונים שלישי הוא הנתונים המנהליים של שירות התעסוקה על דורשי עבודה רשומים. לנתונים אלה יתרון של יציבות, שכן הם אינם חשופים לבעיות מדגם והיענות של סקרי כוח אדם, ושירות התעסוקה עצמו ממליץ להישען עליהם בבחינת האבטלה בישראל (שירות התעסוקה, 2019). השילוב של שלושת סוגי המדדים מאפשר תמונה שלמה: הצר מודד את המצוקה בשגרה, הרחב את עומקה במשבר, והמנהלי את התמדתה לאורך זמן.</w:t>
      </w:r>
    </w:p>
    <w:p>
      <w:pPr>
        <w:bidi/>
        <w:spacing w:after="200" w:line="360"/>
        <w:jc w:val="both"/>
      </w:pPr>
      <w:r>
        <w:rPr>
          <w:rFonts w:ascii="David" w:cs="David" w:eastAsia="David" w:hAnsi="David"/>
          <w:sz w:val="24"/>
          <w:szCs w:val="24"/>
          <w:rtl/>
        </w:rPr>
        <w:t xml:space="preserve">קבוצת ההשוואה הראויה היא היהודים הלא-חרדים. ההסדרים הייחודיים לחלק ניכר מהציבור החרדי מייצרים דפוסי השתתפות ואבטלה שונים מהותית, וצירופם לקבוצת ההשוואה היה מקטין את הפער הנמדד באופן מלאכותי ומטשטש את הממצא המרכזי. זו גם החלוקה הנהוגה בפרסומי מרכז טאוב ובנק ישראל (דבאוי ואחרים, 2025). בחלק מהפרסומים הרשמיים הנתונים זמינים רק לכלל האוכלוסייה היהודית, ובמקרים אלה הדבר מצוין במפורש; חשוב לזכור שבמקרים כאלה הפער האמיתי מול היהודים הלא-חרדים גדול עוד יותר מהנמדד, משום שהאוכלוסייה החרדית מושכת את ממוצע ההשוואה כלפי מטה.</w:t>
      </w:r>
    </w:p>
    <w:p>
      <w:pPr>
        <w:pStyle w:val="Heading2"/>
        <w:bidi/>
        <w:spacing w:after="140" w:before="280" w:line="360"/>
        <w:jc w:val="right"/>
      </w:pPr>
      <w:r>
        <w:rPr>
          <w:rFonts w:ascii="David" w:cs="David" w:eastAsia="David" w:hAnsi="David"/>
          <w:b/>
          <w:bCs/>
          <w:color w:val="000000"/>
          <w:sz w:val="26"/>
          <w:szCs w:val="26"/>
          <w:rtl/>
        </w:rPr>
        <w:t xml:space="preserve">2019: הסימנים המוקדמים, עוד לפני המשברים</w:t>
      </w:r>
    </w:p>
    <w:p>
      <w:pPr>
        <w:bidi/>
        <w:spacing w:after="200" w:line="360"/>
        <w:jc w:val="both"/>
      </w:pPr>
      <w:r>
        <w:rPr>
          <w:rFonts w:ascii="David" w:cs="David" w:eastAsia="David" w:hAnsi="David"/>
          <w:sz w:val="24"/>
          <w:szCs w:val="24"/>
          <w:rtl/>
        </w:rPr>
        <w:t xml:space="preserve">הבחירה לפתוח את הניתוח בשנת 2019 אינה מקרית. זו הייתה שנת גאות בשוק העבודה: שיעור האבטלה הכללי במשק עמד על כ-4% בלבד, מהנמוכים במדינות ה-OECD, ומספר המשרות הפנויות היה קרוב לשיאו. דווקא על רקע זה בולט ממצא של שירות התעסוקה: מספר תובעי קצבת האבטלה מהאוכלוסייה הלא-יהודית עלה באותה שנה בכ-14%, מ-14,102 ל-16,075, לעומת עלייה של כ-5% בלבד בקרב היהודים, ושיעור דורשי העבודה מהמגזר הערבי המשיך לעלות על משקלם באוכלוסייה (שירות התעסוקה, 2019). המשמעות האנליטית חשובה לכל ההמשך: ההידרדרות היחסית של החברה הערבית החלה עוד לפני הקורונה ולפני המלחמה, בתקופה שבה השוק כולו שגשג וכמעט כל קבוצה אחרת נהנתה מהגאות. כאשר קבוצה נחלשת דווקא בעת גאות, קשה לתלות את מצבה בגורמים מחזוריים, ויש לחפש את ההסבר בחסמים מבניים הפועלים עליה באופן ייחודי. הנתון הזה גם שולל מראש טענת נגד אפשרית, שלפיה הפערים שיתוארו בהמשך הם תוצר חולף של המלחמה בלבד.</w:t>
      </w:r>
    </w:p>
    <w:p>
      <w:pPr>
        <w:pStyle w:val="Heading2"/>
        <w:bidi/>
        <w:spacing w:after="140" w:before="280" w:line="360"/>
        <w:jc w:val="right"/>
      </w:pPr>
      <w:r>
        <w:rPr>
          <w:rFonts w:ascii="David" w:cs="David" w:eastAsia="David" w:hAnsi="David"/>
          <w:b/>
          <w:bCs/>
          <w:color w:val="000000"/>
          <w:sz w:val="26"/>
          <w:szCs w:val="26"/>
          <w:rtl/>
        </w:rPr>
        <w:t xml:space="preserve">2022: הפער בשגרה</w:t>
      </w:r>
    </w:p>
    <w:p>
      <w:pPr>
        <w:bidi/>
        <w:spacing w:after="200" w:line="360"/>
        <w:jc w:val="both"/>
      </w:pPr>
      <w:r>
        <w:rPr>
          <w:rFonts w:ascii="David" w:cs="David" w:eastAsia="David" w:hAnsi="David"/>
          <w:sz w:val="24"/>
          <w:szCs w:val="24"/>
          <w:rtl/>
        </w:rPr>
        <w:t xml:space="preserve">בשנת 2022, שנת שגרה שבין שני המשברים, עמד שיעור הבלתי-מועסקים בקרב ערבים על 5.5%, לעומת 3.5% בקרב יהודים (המכון הישראלי לדמוקרטיה, 2023). פער של שתי נקודות אחוז נשמע מתון, אך במונחים יחסיים פירושו שהסיכון של עובד ערבי להיות מובטל גבוה ביותר מחמישים אחוזים מזה של עובד יהודי. חשוב מכך, הפער הזה נמדד במצב השוק הטוב ביותר, לאחר ההתאוששות מהקורונה ולפני המלחמה, ולכן הוא מייצג את נקודת המינימום של המצוקה ולא את שיאה. כל מה שאירע מאז אוקטובר 2023 נבנה על גבי הבסיס הזה: המשבר לא יצר את הפער, אלא הכפיל פער שהיה קיים ממילא.</w:t>
      </w:r>
    </w:p>
    <w:p>
      <w:pPr>
        <w:pStyle w:val="Heading2"/>
        <w:bidi/>
        <w:spacing w:after="140" w:before="280" w:line="360"/>
        <w:jc w:val="right"/>
      </w:pPr>
      <w:r>
        <w:rPr>
          <w:rFonts w:ascii="David" w:cs="David" w:eastAsia="David" w:hAnsi="David"/>
          <w:b/>
          <w:bCs/>
          <w:color w:val="000000"/>
          <w:sz w:val="26"/>
          <w:szCs w:val="26"/>
          <w:rtl/>
        </w:rPr>
        <w:t xml:space="preserve">אוקטובר 2023: הלם אסימטרי</w:t>
      </w:r>
    </w:p>
    <w:p>
      <w:pPr>
        <w:bidi/>
        <w:spacing w:after="200" w:line="360"/>
        <w:jc w:val="both"/>
      </w:pPr>
      <w:r>
        <w:rPr>
          <w:rFonts w:ascii="David" w:cs="David" w:eastAsia="David" w:hAnsi="David"/>
          <w:sz w:val="24"/>
          <w:szCs w:val="24"/>
          <w:rtl/>
        </w:rPr>
        <w:t xml:space="preserve">פרוץ המלחמה חשף עד כמה שברירי מעמדה של התעסוקה הערבית. שיעור האבטלה בחברה הערבית שילש את עצמו בתוך חודש אחד והגיע לכפליים מהשיעור בחברה היהודית, ובמדד האבטלה הרחבה נרשמו 15.6% בחברה הערבית לעומת 8.6% בקרב היהודים (בנק ישראל, 2024ב). נתוני ההיעדרות מחדדים את האסימטריה: שיעור הנעדרים מעבודתם מסיבות כלכליות זינק בקרב מועסקים ערבים מ-0.5% ל-10.3%, גידול של פי עשרים, בעוד שבקרב מועסקים יהודים העלייה הייתה מ-0.3% ל-5.6% (ג'וינט ישראל, 2025). אותו הלם מקרו-כלכלי פגע אפוא בחברה הערבית בעוצמה כפולה. חלק מההסבר טמון בהרכב התעסוקה: כשליש מהמועסקים הערבים עובדים במשלחי יד שבנק ישראל הגדיר כבעלי סיכון גבוה לפגיעה בתעסוקה, ובראשם ענף הבינוי, לעומת 14% בלבד מהמועסקים היהודים, ולכן כל זעזוע חיצוני מתורגם אצלם במהירות לאבטלה בפועל (בנק ישראל, 2024ב).</w:t>
      </w:r>
    </w:p>
    <w:p>
      <w:pPr>
        <w:bidi/>
        <w:spacing w:after="200" w:line="360"/>
        <w:jc w:val="both"/>
      </w:pPr>
      <w:r>
        <w:rPr>
          <w:rFonts w:ascii="David" w:cs="David" w:eastAsia="David" w:hAnsi="David"/>
          <w:sz w:val="24"/>
          <w:szCs w:val="24"/>
          <w:rtl/>
        </w:rPr>
        <w:t xml:space="preserve">למרכיב הענפי נוסף במלחמה מרכיב של אמון. מחקר שנערך בקרב מעסיקים יהודים לפני פרוץ המלחמה ומיד אחריו מצא ירידה חדה במוטיבציה להעסיק ערבים: הנכונות לנהל עובדים ערבים ירדה מ-69% ל-49%, הרצון לעבוד בארגון שיש בו עובדים ערבים ירד מ-65% ל-50%, ושיעור המעסיקים שהביעו אמון בעובדים ובמנהלים ערבים ירד מ-37%, שיעור נמוך ממילא, ל-24% בלבד (ג'וינט ישראל, 2025). נתונים אלה חשובים לניתוח משום שהם מראים שהפגיעה אינה רק תוצאה מכנית של סגירת אתרי בנייה, אלא גם תוצאה של היצרות צד הביקוש: מעסיקים שנעשו מסויגים יותר מהעסקת ערבים. חסם כזה אינו נעלם מאליו עם שוך הלחימה, והוא מסביר חלק מההתאוששות האיטית שתתואר להלן.</w:t>
      </w:r>
    </w:p>
    <w:p>
      <w:pPr>
        <w:pStyle w:val="Heading2"/>
        <w:bidi/>
        <w:spacing w:after="140" w:before="280" w:line="360"/>
        <w:jc w:val="right"/>
      </w:pPr>
      <w:r>
        <w:rPr>
          <w:rFonts w:ascii="David" w:cs="David" w:eastAsia="David" w:hAnsi="David"/>
          <w:b/>
          <w:bCs/>
          <w:color w:val="000000"/>
          <w:sz w:val="26"/>
          <w:szCs w:val="26"/>
          <w:rtl/>
        </w:rPr>
        <w:t xml:space="preserve">2024–2025: התאוששות חלקית ופער שמתקבע</w:t>
      </w:r>
    </w:p>
    <w:p>
      <w:pPr>
        <w:bidi/>
        <w:spacing w:after="200" w:line="360"/>
        <w:jc w:val="both"/>
      </w:pPr>
      <w:r>
        <w:rPr>
          <w:rFonts w:ascii="David" w:cs="David" w:eastAsia="David" w:hAnsi="David"/>
          <w:sz w:val="24"/>
          <w:szCs w:val="24"/>
          <w:rtl/>
        </w:rPr>
        <w:t xml:space="preserve">המבחן האמיתי של מגמה הוא ההתאוששות, וכאן התמונה מדאיגה במיוחד. שיעור התעסוקה של גברים ערבים בני 25 עד 66, שעמד ערב המלחמה על כ-78%, צנח בחודשי המלחמה הראשונים ל-66%, ובינואר 2024 שב ל-71% בלבד (ג'וינט ישראל, 2025). ברבעון השלישי של 2024 עמדה תעסוקת הגברים הערבים בני 25 עד 64 על 75%, בעוד גברים יהודים לא-חרדים שמרו על 87% לאורך כל התקופה (דבאוי ואחרים, 2025). כלומר, הקבוצה שנפגעה לא חזרה לנקודת המוצא, והקבוצה שלא נפגעה כלל לא זזה: הפער התרחב והתקבע. הפגיעה המתמשכת אף אינה מתחלקת באופן שווה בתוך קבוצת הגברים, והיא מתרכזת בעובדים המבוגרים, בני 55 ומעלה, שסיכוייהם לשוב ולהשתלב בעבודה נמוכים, ושנשירתם מכוח העבודה עלולה להפוך לפרישה מוקדמת בפועל, עם השלכות ארוכות טווח על הכנסות משקי הבית ועל ממדי העוני (ג'וינט ישראל, 2025).</w:t>
      </w:r>
    </w:p>
    <w:p>
      <w:pPr>
        <w:bidi/>
        <w:spacing w:after="200" w:line="360"/>
        <w:jc w:val="both"/>
      </w:pPr>
      <w:r>
        <w:rPr>
          <w:rFonts w:ascii="David" w:cs="David" w:eastAsia="David" w:hAnsi="David"/>
          <w:sz w:val="24"/>
          <w:szCs w:val="24"/>
          <w:rtl/>
        </w:rPr>
        <w:t xml:space="preserve">נתוני דורשי העבודה סוגרים את התמונה מכיוון נוסף. חלקם של הערבים בקרב דורשי העבודה הרשומים עמד על 32% בינואר 2023, 29.7% בינואר 2024 ו-29.1% בינואר 2025, בעוד חלקם בגילי העבודה עומד על כחמישית בלבד, ושיעור החזרה שלהם לעבודה נמוך במיוחד (שירות התעסוקה, 2025). ירידה של שלוש נקודות אחוז בשנתיים אינה התכנסות אלא קיבעון ברמה גבוהה. השילוב בין ייצוג עודף מתמשך, שיעור חזרה נמוך לעבודה ומשך אבטלה מתארך הוא ההגדרה המעשית של אבטלה מבנית: לא עוד פגיעה חולפת שמתקנת את עצמה עם השוק, אלא מצב יציב שמדיניות בלבד יכולה לשנות.</w:t>
      </w:r>
    </w:p>
    <w:p>
      <w:pPr>
        <w:pStyle w:val="Heading2"/>
        <w:bidi/>
        <w:spacing w:after="140" w:before="280" w:line="360"/>
        <w:jc w:val="right"/>
      </w:pPr>
      <w:r>
        <w:rPr>
          <w:rFonts w:ascii="David" w:cs="David" w:eastAsia="David" w:hAnsi="David"/>
          <w:b/>
          <w:bCs/>
          <w:color w:val="000000"/>
          <w:sz w:val="26"/>
          <w:szCs w:val="26"/>
          <w:rtl/>
        </w:rPr>
        <w:t xml:space="preserve">הפילוחים בתוך החברה הערבית: השונות היא עצמה ממצא</w:t>
      </w:r>
    </w:p>
    <w:p>
      <w:pPr>
        <w:bidi/>
        <w:spacing w:after="200" w:line="360"/>
        <w:jc w:val="both"/>
      </w:pPr>
      <w:r>
        <w:rPr>
          <w:rFonts w:ascii="David" w:cs="David" w:eastAsia="David" w:hAnsi="David"/>
          <w:sz w:val="24"/>
          <w:szCs w:val="24"/>
          <w:rtl/>
        </w:rPr>
        <w:t xml:space="preserve">הממוצעים מסתירים שונות פנימית גדולה, והשונות הזו היא עצמה ממצא בעל השלכות מדיניות. בפילוח מגדרי מתקיימות שתי מצוקות שונות. אצל הגברים הבעיה היא פגיעות חריפה לאובדן עבודה בעת משבר, כפי שמעיד חלקם הגבוה, 57.8%, בדורשי העבודה החדשים בחברה הערבית במשבר הקורונה, כמחציתם צעירים בני 20 עד 34 (שירות התעסוקה, 2020). אצל הנשים המצוקה כפולה: השתתפות נמוכה במיוחד בכוח העבודה לצד קושי ממשי של המחפשות למצוא עבודה. מדיניות אחידה תחטיא בהכרח לפחות אחת משתי הקבוצות; טיפול בגברים מחייב ייצוב הביקוש וגיוון ענפי, וטיפול בנשים מחייב הסרת חסמי נגישות, תחבורה ומעונות יום.</w:t>
      </w:r>
    </w:p>
    <w:p>
      <w:pPr>
        <w:bidi/>
        <w:spacing w:after="200" w:line="360"/>
        <w:jc w:val="both"/>
      </w:pPr>
      <w:r>
        <w:rPr>
          <w:rFonts w:ascii="David" w:cs="David" w:eastAsia="David" w:hAnsi="David"/>
          <w:sz w:val="24"/>
          <w:szCs w:val="24"/>
          <w:rtl/>
        </w:rPr>
        <w:t xml:space="preserve">בפילוח גילי, הצעירים הם נקודת התורפה המסוכנת ביותר. שיעור הגברים הערבים בני 18 עד 24 שאינם עובדים ואינם לומדים עלה מכ-19.5% בשנת 2015 לכ-25.2% בשנת 2023, ולאחר המלחמה זינק לכ-34.5%, יותר משליש מקבוצת הגיל (מדד אלפנאר, 2024; 2025). זהו אינו רק נתון של ההווה אלא מנגנון שמשעתק את הפער לדור הבא: צעיר שאינו צובר לא השכלה ולא ניסיון תעסוקתי נכנס לשוק העבודה בעמדת נחיתות קבועה, והספרות קושרת חוסר מעש ממושך גם להידרדרות לפשיעה. בפילוח גאוגרפי, המצוקה מתרכזת בפריפריה, שבה שוכנים רוב היישובים הערביים, והיא חריפה במיוחד בקרב הבדואים בנגב, שבהם חלקם של מקבלי הבטחת ההכנסה בקרב דורשי העבודה גבוה במיוחד (שירות התעסוקה, 2020). האבטלה הערבית היא אפוא גם בעיה אזורית, ולא רק מגזרית, ופתרונה כרוך בפיתוח אזורי ולא רק בטיפול פרטני בעובד.</w:t>
      </w:r>
    </w:p>
    <w:p>
      <w:pPr>
        <w:pStyle w:val="Heading2"/>
        <w:bidi/>
        <w:spacing w:after="140" w:before="280" w:line="360"/>
        <w:jc w:val="right"/>
      </w:pPr>
      <w:r>
        <w:rPr>
          <w:rFonts w:ascii="David" w:cs="David" w:eastAsia="David" w:hAnsi="David"/>
          <w:b/>
          <w:bCs/>
          <w:color w:val="000000"/>
          <w:sz w:val="26"/>
          <w:szCs w:val="26"/>
          <w:rtl/>
        </w:rPr>
        <w:t xml:space="preserve">מדוע הפער נוצר ומתמיד: ההסברים המבניים</w:t>
      </w:r>
    </w:p>
    <w:p>
      <w:pPr>
        <w:bidi/>
        <w:spacing w:after="200" w:line="360"/>
        <w:jc w:val="both"/>
      </w:pPr>
      <w:r>
        <w:rPr>
          <w:rFonts w:ascii="David" w:cs="David" w:eastAsia="David" w:hAnsi="David"/>
          <w:sz w:val="24"/>
          <w:szCs w:val="24"/>
          <w:rtl/>
        </w:rPr>
        <w:t xml:space="preserve">שרשרת הנתונים שלעיל מעוררת את השאלה מדוע הפער אינו נסגר מאליו. הספרות מצביעה על כך שההון האנושי מסביר רק חלק קטן ממנו. ניתוח כמותי של פער ההשתתפות בין נשים ערביות ליהודיות מצא שההבדלים במשתנים הנצפים, ובהם השכלה וגיל, מסבירים כעשרה אחוזים בלבד מהפער, ואילו עיקרו נובע מחיכוכים מבניים: חוסר נגישות תחבורתית, היעדר מעונות יום, היעדר מידע ואפליה (ישיב וקסיר (קלינר), 2011). חסם התחבורה ניתן כיום לכימות ישיר: מדד הנגישות התחבורתית עומד על כ-87.6 ביישובים יהודיים לעומת כ-60.6 ביישובים ערביים, ופער זה לבדו אחראי לכ-16% מפער השכר של גברים ערבים ולכ-18% מזה של נשים ערביות (זיו, 2026). היעדר מסגרות לילדים מתחת לגיל שלוש פוגע במיוחד ביכולתן של נשים לצאת לעבודה (מכון זולת, 2023). ולצד אלה פועלת האפליה בשוק העבודה, שנתוני עמדות המעסיקים שהוצגו לעיל ממחישים את עומקה. צירוף ההסברים האלה מבהיר את הממצא המרכזי של ציר הזמן: פער שמקורו בסביבה, בתשתית וביחס המעסיקים אינו נסגר בכוחות השוק, גם לא בשנות גאות.</w:t>
      </w:r>
    </w:p>
    <w:p>
      <w:pPr>
        <w:pStyle w:val="Heading2"/>
        <w:bidi/>
        <w:spacing w:after="140" w:before="280" w:line="360"/>
        <w:jc w:val="right"/>
      </w:pPr>
      <w:r>
        <w:rPr>
          <w:rFonts w:ascii="David" w:cs="David" w:eastAsia="David" w:hAnsi="David"/>
          <w:b/>
          <w:bCs/>
          <w:color w:val="000000"/>
          <w:sz w:val="26"/>
          <w:szCs w:val="26"/>
          <w:rtl/>
        </w:rPr>
        <w:t xml:space="preserve">רקע משלים: תעסוקה, שכר והמחיר למשק</w:t>
      </w:r>
    </w:p>
    <w:p>
      <w:pPr>
        <w:bidi/>
        <w:spacing w:after="200" w:line="360"/>
        <w:jc w:val="both"/>
      </w:pPr>
      <w:r>
        <w:rPr>
          <w:rFonts w:ascii="David" w:cs="David" w:eastAsia="David" w:hAnsi="David"/>
          <w:sz w:val="24"/>
          <w:szCs w:val="24"/>
          <w:rtl/>
        </w:rPr>
        <w:t xml:space="preserve">נתוני הרקע מראים שהאבטלה הנמדדת היא רק חלקו הגלוי של אי-המיצוי. שיעור התעסוקה בחברה הערבית עומד על כ-48% לעומת כ-60.8% בכלל המשק, ובקרב נשים ערביות על 28.3% בלבד, לעומת 61.6% בקרב נשים יהודיות (הלשכה המרכזית לסטטיסטיקה, 2023). גם המועסקים אינם ממצים את כוחם. פער השכר בין גברים ערבים לגברים יהודים לא-חרדים מגיע לכ-45%, אף שהגברים הערבים עובדים בממוצע 21 שעות יותר בחודש. פירוק הפער מלמד שההשכלה מסבירה כרבע ממנו, ענפי התעסוקה כחמישית, מקום המגורים כ-17% והכנסת ההורים כ-12%, ואילו כ-35% נותרים בלתי-מוסברים גם לאחר כל אלה; בין בעלי רמת השכלה זהה עומד הפער על כ-24% (משרד האוצר, 2021). את איכות התעסוקה ממחיש גם ענף ההיי-טק, מנוע הצמיחה של המשק: רק 1.4% מהשכירים הערבים מועסקים בו, לעומת 12.6% מהיהודים (בנק ישראל, 2024א). לפי משרד האוצר (2021), סגירת פערי ההכנסה בין גברים ערבים ליהודים היא התרומה הפוטנציאלית הגדולה ביותר לצמיחת התוצר בישראל, גדולה מזו של צמצום כל פער אחר. המצוקה המתוארת כאן אינה רק שאלה של שוויון, אלא אובדן כלכלי מתמשך למשק כולו.</w:t>
      </w:r>
    </w:p>
    <w:p>
      <w:pPr>
        <w:pStyle w:val="Heading2"/>
        <w:bidi/>
        <w:spacing w:after="140" w:before="280" w:line="360"/>
        <w:jc w:val="right"/>
      </w:pPr>
      <w:r>
        <w:rPr>
          <w:rFonts w:ascii="David" w:cs="David" w:eastAsia="David" w:hAnsi="David"/>
          <w:b/>
          <w:bCs/>
          <w:color w:val="000000"/>
          <w:sz w:val="26"/>
          <w:szCs w:val="26"/>
          <w:rtl/>
        </w:rPr>
        <w:t xml:space="preserve">סיכום הניתוח</w:t>
      </w:r>
    </w:p>
    <w:p>
      <w:pPr>
        <w:bidi/>
        <w:spacing w:after="200" w:line="360"/>
        <w:jc w:val="both"/>
      </w:pPr>
      <w:r>
        <w:rPr>
          <w:rFonts w:ascii="David" w:cs="David" w:eastAsia="David" w:hAnsi="David"/>
          <w:sz w:val="24"/>
          <w:szCs w:val="24"/>
          <w:rtl/>
        </w:rPr>
        <w:t xml:space="preserve">שלוש מסקנות עולות מצירוף הנתונים. ראשית, המצוקה מחריפה: מהסימנים המוקדמים של 2019, דרך פער יציב בשגרה של 2022, ועד הלם אסימטרי במלחמה והתאוששות שאינה סוגרת את הפער. שנית, ההחרפה אינה מחזורית אלא מבנית. היא מופיעה גם בעיתות גאות, מרוכזת בענפים, באזורים ובקבוצות שהחסמים המבניים חלים עליהם ביתר שאת, ומוסברת בעיקרה בגורמים שאינם הון אנושי: נגישות, תשתית, מעונות ויחס מעסיקים. שלישית, לנמען הנייר, שר העבודה, יש חלון פעולה מוגבל. ככל שמשך האבטלה מתארך, שיעור החזרה לעבודה יורד וחוסר המעש בקרב הצעירים מעמיק, האבטלה הזמנית מתקבעת לנשירה קבועה מכוח העבודה, והעלות של דחיית הטיפול, למשקי הבית ולמשק כולו, עולה בהתמדה. אלה הנתונים המבססים את טענת הנייר כי נדרש שינוי מוקד: מהכשרת העובד אל הסרת החסמים המבניים בצד הביקוש והתשתית.</w:t>
      </w:r>
    </w:p>
    <w:p>
      <w:pPr>
        <w:pStyle w:val="Heading2"/>
        <w:bidi/>
        <w:spacing w:after="140" w:before="280" w:line="360"/>
        <w:jc w:val="right"/>
      </w:pPr>
      <w:r>
        <w:rPr>
          <w:rFonts w:ascii="David" w:cs="David" w:eastAsia="David" w:hAnsi="David"/>
          <w:b/>
          <w:bCs/>
          <w:color w:val="000000"/>
          <w:sz w:val="26"/>
          <w:szCs w:val="26"/>
          <w:rtl/>
        </w:rPr>
        <w:t xml:space="preserve">רשימת המקורות עם קישורים</w:t>
      </w:r>
    </w:p>
    <w:p>
      <w:pPr>
        <w:bidi/>
        <w:spacing w:after="20" w:line="300"/>
        <w:jc w:val="right"/>
      </w:pPr>
      <w:r>
        <w:rPr>
          <w:rFonts w:ascii="David" w:cs="David" w:eastAsia="David" w:hAnsi="David"/>
          <w:sz w:val="22"/>
          <w:szCs w:val="22"/>
          <w:rtl/>
        </w:rPr>
        <w:t xml:space="preserve">בנק ישראל (2024א). ניתוח יישום תוכנית החומש לפיתוח כלכלי של האוכלוסייה הערבית במסגרת החלטה 922.</w:t>
      </w:r>
    </w:p>
    <w:p>
      <w:pPr>
        <w:spacing w:after="160"/>
        <w:jc w:val="left"/>
      </w:pPr>
      <w:hyperlink w:history="1" r:id="rIdo27bm2qkrlurffrqrq_nb">
        <w:r>
          <w:rPr>
            <w:rStyle w:val="Hyperlink"/>
            <w:rFonts w:ascii="Times New Roman" w:cs="Times New Roman" w:eastAsia="Times New Roman" w:hAnsi="Times New Roman"/>
            <w:sz w:val="18"/>
            <w:szCs w:val="18"/>
          </w:rPr>
          <w:t xml:space="preserve">https://boi.org.il/publications/pressreleases/6-3-24/</w:t>
        </w:r>
      </w:hyperlink>
    </w:p>
    <w:p>
      <w:pPr>
        <w:bidi/>
        <w:spacing w:after="20" w:line="300"/>
        <w:jc w:val="right"/>
      </w:pPr>
      <w:r>
        <w:rPr>
          <w:rFonts w:ascii="David" w:cs="David" w:eastAsia="David" w:hAnsi="David"/>
          <w:sz w:val="22"/>
          <w:szCs w:val="22"/>
          <w:rtl/>
        </w:rPr>
        <w:t xml:space="preserve">בנק ישראל (2024ב). דין וחשבון 2023.</w:t>
      </w:r>
    </w:p>
    <w:p>
      <w:pPr>
        <w:spacing w:after="160"/>
        <w:jc w:val="left"/>
      </w:pPr>
      <w:hyperlink w:history="1" r:id="rIde5hpdlbpk6zph1eqtm-gb">
        <w:r>
          <w:rPr>
            <w:rStyle w:val="Hyperlink"/>
            <w:rFonts w:ascii="Times New Roman" w:cs="Times New Roman" w:eastAsia="Times New Roman" w:hAnsi="Times New Roman"/>
            <w:sz w:val="18"/>
            <w:szCs w:val="18"/>
          </w:rPr>
          <w:t xml:space="preserve">https://boi.org.il/media/bixo1v0q/full-anuual2023.pdf</w:t>
        </w:r>
      </w:hyperlink>
    </w:p>
    <w:p>
      <w:pPr>
        <w:bidi/>
        <w:spacing w:after="20" w:line="300"/>
        <w:jc w:val="right"/>
      </w:pPr>
      <w:r>
        <w:rPr>
          <w:rFonts w:ascii="David" w:cs="David" w:eastAsia="David" w:hAnsi="David"/>
          <w:sz w:val="22"/>
          <w:szCs w:val="22"/>
          <w:rtl/>
        </w:rPr>
        <w:t xml:space="preserve">ג'וינט ישראל (2025). השלכות המלחמה על החברה הערבית: תמונת מצב על החברה הערבית בישראל.</w:t>
      </w:r>
    </w:p>
    <w:p>
      <w:pPr>
        <w:spacing w:after="160"/>
        <w:jc w:val="left"/>
      </w:pPr>
      <w:hyperlink w:history="1" r:id="rIdwtizyl5sw1novxsiafbcl">
        <w:r>
          <w:rPr>
            <w:rStyle w:val="Hyperlink"/>
            <w:rFonts w:ascii="Times New Roman" w:cs="Times New Roman" w:eastAsia="Times New Roman" w:hAnsi="Times New Roman"/>
            <w:sz w:val="18"/>
            <w:szCs w:val="18"/>
          </w:rPr>
          <w:t xml:space="preserve">https://www.thejoint.org.il/wp-content/uploads/2025/01/%D7%AA%D7%9E%D7%95%D7%A0%D7%AA-%D7%9E%D7%A6%D7%91-%D7%A2%D7%9C-%D7%94%D7%97%D7%91%D7%A8%D7%94-%D7%94%D7%A2%D7%A8%D7%91%D7%99%D7%AA-A4.pdf</w:t>
        </w:r>
      </w:hyperlink>
    </w:p>
    <w:p>
      <w:pPr>
        <w:bidi/>
        <w:spacing w:after="20" w:line="300"/>
        <w:jc w:val="right"/>
      </w:pPr>
      <w:r>
        <w:rPr>
          <w:rFonts w:ascii="David" w:cs="David" w:eastAsia="David" w:hAnsi="David"/>
          <w:sz w:val="22"/>
          <w:szCs w:val="22"/>
          <w:rtl/>
        </w:rPr>
        <w:t xml:space="preserve">דבאוי, מ', אפשטיין, ג', ווייס, א' (2025). שוק העבודה בישראל 2024: בצל המלחמה. מרכז טאוב לחקר המדיניות החברתית בישראל.</w:t>
      </w:r>
    </w:p>
    <w:p>
      <w:pPr>
        <w:spacing w:after="160"/>
        <w:jc w:val="left"/>
      </w:pPr>
      <w:hyperlink w:history="1" r:id="rIdjfejvecipo3mnlqlwwpfx">
        <w:r>
          <w:rPr>
            <w:rStyle w:val="Hyperlink"/>
            <w:rFonts w:ascii="Times New Roman" w:cs="Times New Roman" w:eastAsia="Times New Roman" w:hAnsi="Times New Roman"/>
            <w:sz w:val="18"/>
            <w:szCs w:val="18"/>
          </w:rPr>
          <w:t xml:space="preserve">https://www.taubcenter.org.il/wp-content/uploads/2025/01/Labor-2024-HEB-2.pdf</w:t>
        </w:r>
      </w:hyperlink>
    </w:p>
    <w:p>
      <w:pPr>
        <w:bidi/>
        <w:spacing w:after="20" w:line="300"/>
        <w:jc w:val="right"/>
      </w:pPr>
      <w:r>
        <w:rPr>
          <w:rFonts w:ascii="David" w:cs="David" w:eastAsia="David" w:hAnsi="David"/>
          <w:sz w:val="22"/>
          <w:szCs w:val="22"/>
          <w:rtl/>
        </w:rPr>
        <w:t xml:space="preserve">הלשכה המרכזית לסטטיסטיקה (2023). פני החברה בישראל מס' 14: פערים בין יהודים לערבים.</w:t>
      </w:r>
    </w:p>
    <w:p>
      <w:pPr>
        <w:spacing w:after="160"/>
        <w:jc w:val="left"/>
      </w:pPr>
      <w:hyperlink w:history="1" r:id="rIdo4qjyeuh1erszdowfsymc">
        <w:r>
          <w:rPr>
            <w:rStyle w:val="Hyperlink"/>
            <w:rFonts w:ascii="Times New Roman" w:cs="Times New Roman" w:eastAsia="Times New Roman" w:hAnsi="Times New Roman"/>
            <w:sz w:val="18"/>
            <w:szCs w:val="18"/>
          </w:rPr>
          <w:t xml:space="preserve">https://www.cbs.gov.il/he/publications/DocLib/2023/rep_14/%D7%93%D7%95%D7%97%20%D7%A4%D7%A0%D7%99%20%D7%94%D7%97%D7%91%D7%A8%D7%94%20%D7%91%D7%99%D7%A9%D7%A8%D7%90%D7%9C%20%D7%9E%D7%A1%2014%20-%20INTERNET%20(1).pdf</w:t>
        </w:r>
      </w:hyperlink>
    </w:p>
    <w:p>
      <w:pPr>
        <w:bidi/>
        <w:spacing w:after="20" w:line="300"/>
        <w:jc w:val="right"/>
      </w:pPr>
      <w:r>
        <w:rPr>
          <w:rFonts w:ascii="David" w:cs="David" w:eastAsia="David" w:hAnsi="David"/>
          <w:sz w:val="22"/>
          <w:szCs w:val="22"/>
          <w:rtl/>
        </w:rPr>
        <w:t xml:space="preserve">המכון הישראלי לדמוקרטיה (2023). שנתון החברה הערבית בישראל 2023.</w:t>
      </w:r>
    </w:p>
    <w:p>
      <w:pPr>
        <w:spacing w:after="160"/>
        <w:jc w:val="left"/>
      </w:pPr>
      <w:hyperlink w:history="1" r:id="rId4kiptayzkoddyblsyyv5l">
        <w:r>
          <w:rPr>
            <w:rStyle w:val="Hyperlink"/>
            <w:rFonts w:ascii="Times New Roman" w:cs="Times New Roman" w:eastAsia="Times New Roman" w:hAnsi="Times New Roman"/>
            <w:sz w:val="18"/>
            <w:szCs w:val="18"/>
          </w:rPr>
          <w:t xml:space="preserve">https://www.idi.org.il/arab-society/2023/</w:t>
        </w:r>
      </w:hyperlink>
    </w:p>
    <w:p>
      <w:pPr>
        <w:bidi/>
        <w:spacing w:after="20" w:line="300"/>
        <w:jc w:val="right"/>
      </w:pPr>
      <w:r>
        <w:rPr>
          <w:rFonts w:ascii="David" w:cs="David" w:eastAsia="David" w:hAnsi="David"/>
          <w:sz w:val="22"/>
          <w:szCs w:val="22"/>
          <w:rtl/>
        </w:rPr>
        <w:t xml:space="preserve">זיו, ס' (2026). נגישות תחבורתית ופערי שכר בין יישובים ערביים ויהודיים בישראל. מכון אהרן למדיניות כלכלית, אוניברסיטת רייכמן (דיווח: גלובס).</w:t>
      </w:r>
    </w:p>
    <w:p>
      <w:pPr>
        <w:spacing w:after="160"/>
        <w:jc w:val="left"/>
      </w:pPr>
      <w:hyperlink w:history="1" r:id="rIdljrjwgxsxlyddyzib-h9f">
        <w:r>
          <w:rPr>
            <w:rStyle w:val="Hyperlink"/>
            <w:rFonts w:ascii="Times New Roman" w:cs="Times New Roman" w:eastAsia="Times New Roman" w:hAnsi="Times New Roman"/>
            <w:sz w:val="18"/>
            <w:szCs w:val="18"/>
          </w:rPr>
          <w:t xml:space="preserve">https://www.globes.co.il/news/article.aspx?did=1001533636</w:t>
        </w:r>
      </w:hyperlink>
    </w:p>
    <w:p>
      <w:pPr>
        <w:bidi/>
        <w:spacing w:after="20" w:line="300"/>
        <w:jc w:val="right"/>
      </w:pPr>
      <w:r>
        <w:rPr>
          <w:rFonts w:ascii="David" w:cs="David" w:eastAsia="David" w:hAnsi="David"/>
          <w:sz w:val="22"/>
          <w:szCs w:val="22"/>
          <w:rtl/>
        </w:rPr>
        <w:t xml:space="preserve">ישיב, ע', וקסיר (קלינר), נ' (2011). נשים ערביות בשוק העבודה בישראל: מאפיינים וצעדי מדיניות. הרבעון לכלכלה, 58(1/2), 121–161.</w:t>
      </w:r>
    </w:p>
    <w:p>
      <w:pPr>
        <w:spacing w:after="160"/>
        <w:jc w:val="left"/>
      </w:pPr>
      <w:hyperlink w:history="1" r:id="rIdeioxc3hhpd9suw5trwrtu">
        <w:r>
          <w:rPr>
            <w:rStyle w:val="Hyperlink"/>
            <w:rFonts w:ascii="Times New Roman" w:cs="Times New Roman" w:eastAsia="Times New Roman" w:hAnsi="Times New Roman"/>
            <w:sz w:val="18"/>
            <w:szCs w:val="18"/>
          </w:rPr>
          <w:t xml:space="preserve">https://falk.huji.ac.il/sites/default/files/falkheb/files/kasir_and_yashiv.pdf</w:t>
        </w:r>
      </w:hyperlink>
    </w:p>
    <w:p>
      <w:pPr>
        <w:bidi/>
        <w:spacing w:after="20" w:line="300"/>
        <w:jc w:val="right"/>
      </w:pPr>
      <w:r>
        <w:rPr>
          <w:rFonts w:ascii="David" w:cs="David" w:eastAsia="David" w:hAnsi="David"/>
          <w:sz w:val="22"/>
          <w:szCs w:val="22"/>
          <w:rtl/>
        </w:rPr>
        <w:t xml:space="preserve">מדד אלפנאר (2024). מדד התעסוקה בחברה הערבית. אלפנאר לקידום תעסוקת ערבים בישראל.</w:t>
      </w:r>
    </w:p>
    <w:p>
      <w:pPr>
        <w:spacing w:after="160"/>
        <w:jc w:val="left"/>
      </w:pPr>
      <w:hyperlink w:history="1" r:id="rIdogh_tlrqmgrxicw4c1lkd">
        <w:r>
          <w:rPr>
            <w:rStyle w:val="Hyperlink"/>
            <w:rFonts w:ascii="Times New Roman" w:cs="Times New Roman" w:eastAsia="Times New Roman" w:hAnsi="Times New Roman"/>
            <w:sz w:val="18"/>
            <w:szCs w:val="18"/>
          </w:rPr>
          <w:t xml:space="preserve">https://alfanar.org.il/wp-content/uploads/2025/02/%D7%90%D7%9C%D7%A4%D7%A0%D7%90%D7%A8-%D7%9E%D7%93%D7%93-%D7%AA%D7%A2%D7%A1%D7%95%D7%A7%D7%94-2024-1.pdf</w:t>
        </w:r>
      </w:hyperlink>
    </w:p>
    <w:p>
      <w:pPr>
        <w:bidi/>
        <w:spacing w:after="20" w:line="300"/>
        <w:jc w:val="right"/>
      </w:pPr>
      <w:r>
        <w:rPr>
          <w:rFonts w:ascii="David" w:cs="David" w:eastAsia="David" w:hAnsi="David"/>
          <w:sz w:val="22"/>
          <w:szCs w:val="22"/>
          <w:rtl/>
        </w:rPr>
        <w:t xml:space="preserve">מדד אלפנאר (2025). מדד התעסוקה בחברה הערבית. אלפנאר לקידום תעסוקת ערבים בישראל.</w:t>
      </w:r>
    </w:p>
    <w:p>
      <w:pPr>
        <w:spacing w:after="160"/>
        <w:jc w:val="left"/>
      </w:pPr>
      <w:hyperlink w:history="1" r:id="rId-zyyg_xkukorrndgo4hla">
        <w:r>
          <w:rPr>
            <w:rStyle w:val="Hyperlink"/>
            <w:rFonts w:ascii="Times New Roman" w:cs="Times New Roman" w:eastAsia="Times New Roman" w:hAnsi="Times New Roman"/>
            <w:sz w:val="18"/>
            <w:szCs w:val="18"/>
          </w:rPr>
          <w:t xml:space="preserve">https://alfanar.org.il/he/%D7%9E%D7%93%D7%93-%D7%90%D7%9C%D7%A4%D7%A0%D7%90%D7%A8-2025/</w:t>
        </w:r>
      </w:hyperlink>
    </w:p>
    <w:p>
      <w:pPr>
        <w:bidi/>
        <w:spacing w:after="20" w:line="300"/>
        <w:jc w:val="right"/>
      </w:pPr>
      <w:r>
        <w:rPr>
          <w:rFonts w:ascii="David" w:cs="David" w:eastAsia="David" w:hAnsi="David"/>
          <w:sz w:val="22"/>
          <w:szCs w:val="22"/>
          <w:rtl/>
        </w:rPr>
        <w:t xml:space="preserve">מכון זולת (2023). חסמים מרכזיים בתעסוקת נשים ערביות בישראל: תחבורה ציבורית ומעונות יום.</w:t>
      </w:r>
    </w:p>
    <w:p>
      <w:pPr>
        <w:spacing w:after="160"/>
        <w:jc w:val="left"/>
      </w:pPr>
      <w:hyperlink w:history="1" r:id="rIdmvijrdopzo2qdvobr6rvb">
        <w:r>
          <w:rPr>
            <w:rStyle w:val="Hyperlink"/>
            <w:rFonts w:ascii="Times New Roman" w:cs="Times New Roman" w:eastAsia="Times New Roman" w:hAnsi="Times New Roman"/>
            <w:sz w:val="18"/>
            <w:szCs w:val="18"/>
          </w:rPr>
          <w:t xml:space="preserve">https://zulat.org.il/2023/05/30/%D7%97%D7%A1%D7%9E%D7%99%D7%9D-%D7%9E%D7%A8%D7%9B%D7%96%D7%99%D7%99%D7%9D-%D7%91%D7%AA%D7%A2%D7%A1%D7%95%D7%A7%D7%AA-%D7%A0%D7%A9%D7%99%D7%9D-%D7%A2%D7%A8%D7%91%D7%99%D7%95%D7%AA-%D7%91%D7%99%D7%A9/</w:t>
        </w:r>
      </w:hyperlink>
    </w:p>
    <w:p>
      <w:pPr>
        <w:bidi/>
        <w:spacing w:after="20" w:line="300"/>
        <w:jc w:val="right"/>
      </w:pPr>
      <w:r>
        <w:rPr>
          <w:rFonts w:ascii="David" w:cs="David" w:eastAsia="David" w:hAnsi="David"/>
          <w:sz w:val="22"/>
          <w:szCs w:val="22"/>
          <w:rtl/>
        </w:rPr>
        <w:t xml:space="preserve">משרד האוצר (2021). פערי שכר בין גברים יהודים לערבים, אגף הכלכלן הראשי (נובמבר 2021; דיווח: כלכליסט).</w:t>
      </w:r>
    </w:p>
    <w:p>
      <w:pPr>
        <w:spacing w:after="160"/>
        <w:jc w:val="left"/>
      </w:pPr>
      <w:hyperlink w:history="1" r:id="rIdd62t4fgoumovciftwri5z">
        <w:r>
          <w:rPr>
            <w:rStyle w:val="Hyperlink"/>
            <w:rFonts w:ascii="Times New Roman" w:cs="Times New Roman" w:eastAsia="Times New Roman" w:hAnsi="Times New Roman"/>
            <w:sz w:val="18"/>
            <w:szCs w:val="18"/>
          </w:rPr>
          <w:t xml:space="preserve">https://www.calcalist.co.il/local_news/article/hkbhvxfdt</w:t>
        </w:r>
      </w:hyperlink>
    </w:p>
    <w:p>
      <w:pPr>
        <w:bidi/>
        <w:spacing w:after="20" w:line="300"/>
        <w:jc w:val="right"/>
      </w:pPr>
      <w:r>
        <w:rPr>
          <w:rFonts w:ascii="David" w:cs="David" w:eastAsia="David" w:hAnsi="David"/>
          <w:sz w:val="22"/>
          <w:szCs w:val="22"/>
          <w:rtl/>
        </w:rPr>
        <w:t xml:space="preserve">שירות התעסוקה (2019). דוח סיכום שנת 2019: מגמות בשוק העבודה. שירות התעסוקה הישראלי.</w:t>
      </w:r>
    </w:p>
    <w:p>
      <w:pPr>
        <w:spacing w:after="160"/>
        <w:jc w:val="left"/>
      </w:pPr>
      <w:hyperlink w:history="1" r:id="rIdzb3ffscdvees1csv4sxoz">
        <w:r>
          <w:rPr>
            <w:rStyle w:val="Hyperlink"/>
            <w:rFonts w:ascii="Times New Roman" w:cs="Times New Roman" w:eastAsia="Times New Roman" w:hAnsi="Times New Roman"/>
            <w:sz w:val="18"/>
            <w:szCs w:val="18"/>
          </w:rPr>
          <w:t xml:space="preserve">https://www.taasuka.gov.il/he/InfoAndPublications/ReasearchAndReviews/pages/datasummary1219.aspx</w:t>
        </w:r>
      </w:hyperlink>
    </w:p>
    <w:p>
      <w:pPr>
        <w:bidi/>
        <w:spacing w:after="20" w:line="300"/>
        <w:jc w:val="right"/>
      </w:pPr>
      <w:r>
        <w:rPr>
          <w:rFonts w:ascii="David" w:cs="David" w:eastAsia="David" w:hAnsi="David"/>
          <w:sz w:val="22"/>
          <w:szCs w:val="22"/>
          <w:rtl/>
        </w:rPr>
        <w:t xml:space="preserve">שירות התעסוקה (2020). מאפייני דורשי העבודה החדשים בתקופת משבר הקורונה. שירות התעסוקה הישראלי.</w:t>
      </w:r>
    </w:p>
    <w:p>
      <w:pPr>
        <w:spacing w:after="160"/>
      </w:pPr>
    </w:p>
    <w:p>
      <w:pPr>
        <w:bidi/>
        <w:spacing w:after="20" w:line="300"/>
        <w:jc w:val="right"/>
      </w:pPr>
      <w:r>
        <w:rPr>
          <w:rFonts w:ascii="David" w:cs="David" w:eastAsia="David" w:hAnsi="David"/>
          <w:sz w:val="22"/>
          <w:szCs w:val="22"/>
          <w:rtl/>
        </w:rPr>
        <w:t xml:space="preserve">שירות התעסוקה (2025). נתוני דורשי עבודה לפי קבוצות אוכלוסייה. שירות התעסוקה הישראלי.</w:t>
      </w:r>
    </w:p>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27bm2qkrlurffrqrq_nb" Type="http://schemas.openxmlformats.org/officeDocument/2006/relationships/hyperlink" Target="https://boi.org.il/publications/pressreleases/6-3-24/" TargetMode="External"/><Relationship Id="rIde5hpdlbpk6zph1eqtm-gb" Type="http://schemas.openxmlformats.org/officeDocument/2006/relationships/hyperlink" Target="https://boi.org.il/media/bixo1v0q/full-anuual2023.pdf" TargetMode="External"/><Relationship Id="rIdwtizyl5sw1novxsiafbcl" Type="http://schemas.openxmlformats.org/officeDocument/2006/relationships/hyperlink" Target="https://www.thejoint.org.il/wp-content/uploads/2025/01/%D7%AA%D7%9E%D7%95%D7%A0%D7%AA-%D7%9E%D7%A6%D7%91-%D7%A2%D7%9C-%D7%94%D7%97%D7%91%D7%A8%D7%94-%D7%94%D7%A2%D7%A8%D7%91%D7%99%D7%AA-A4.pdf" TargetMode="External"/><Relationship Id="rIdjfejvecipo3mnlqlwwpfx" Type="http://schemas.openxmlformats.org/officeDocument/2006/relationships/hyperlink" Target="https://www.taubcenter.org.il/wp-content/uploads/2025/01/Labor-2024-HEB-2.pdf" TargetMode="External"/><Relationship Id="rIdo4qjyeuh1erszdowfsymc" Type="http://schemas.openxmlformats.org/officeDocument/2006/relationships/hyperlink" Target="https://www.cbs.gov.il/he/publications/DocLib/2023/rep_14/%D7%93%D7%95%D7%97%20%D7%A4%D7%A0%D7%99%20%D7%94%D7%97%D7%91%D7%A8%D7%94%20%D7%91%D7%99%D7%A9%D7%A8%D7%90%D7%9C%20%D7%9E%D7%A1%2014%20-%20INTERNET%20(1).pdf" TargetMode="External"/><Relationship Id="rId4kiptayzkoddyblsyyv5l" Type="http://schemas.openxmlformats.org/officeDocument/2006/relationships/hyperlink" Target="https://www.idi.org.il/arab-society/2023/" TargetMode="External"/><Relationship Id="rIdljrjwgxsxlyddyzib-h9f" Type="http://schemas.openxmlformats.org/officeDocument/2006/relationships/hyperlink" Target="https://www.globes.co.il/news/article.aspx?did=1001533636" TargetMode="External"/><Relationship Id="rIdeioxc3hhpd9suw5trwrtu" Type="http://schemas.openxmlformats.org/officeDocument/2006/relationships/hyperlink" Target="https://falk.huji.ac.il/sites/default/files/falkheb/files/kasir_and_yashiv.pdf" TargetMode="External"/><Relationship Id="rIdogh_tlrqmgrxicw4c1lkd" Type="http://schemas.openxmlformats.org/officeDocument/2006/relationships/hyperlink" Target="https://alfanar.org.il/wp-content/uploads/2025/02/%D7%90%D7%9C%D7%A4%D7%A0%D7%90%D7%A8-%D7%9E%D7%93%D7%93-%D7%AA%D7%A2%D7%A1%D7%95%D7%A7%D7%94-2024-1.pdf" TargetMode="External"/><Relationship Id="rId-zyyg_xkukorrndgo4hla" Type="http://schemas.openxmlformats.org/officeDocument/2006/relationships/hyperlink" Target="https://alfanar.org.il/he/%D7%9E%D7%93%D7%93-%D7%90%D7%9C%D7%A4%D7%A0%D7%90%D7%A8-2025/" TargetMode="External"/><Relationship Id="rIdmvijrdopzo2qdvobr6rvb" Type="http://schemas.openxmlformats.org/officeDocument/2006/relationships/hyperlink" Target="https://zulat.org.il/2023/05/30/%D7%97%D7%A1%D7%9E%D7%99%D7%9D-%D7%9E%D7%A8%D7%9B%D7%96%D7%99%D7%99%D7%9D-%D7%91%D7%AA%D7%A2%D7%A1%D7%95%D7%A7%D7%AA-%D7%A0%D7%A9%D7%99%D7%9D-%D7%A2%D7%A8%D7%91%D7%99%D7%95%D7%AA-%D7%91%D7%99%D7%A9/" TargetMode="External"/><Relationship Id="rIdd62t4fgoumovciftwri5z" Type="http://schemas.openxmlformats.org/officeDocument/2006/relationships/hyperlink" Target="https://www.calcalist.co.il/local_news/article/hkbhvxfdt" TargetMode="External"/><Relationship Id="rIdzb3ffscdvees1csv4sxoz" Type="http://schemas.openxmlformats.org/officeDocument/2006/relationships/hyperlink" Target="https://www.taasuka.gov.il/he/InfoAndPublications/ReasearchAndReviews/pages/datasummary1219.aspx"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2026-08-24T07:45:53.136Z</dcterms:created>
  <dcterms:modified xsi:type="dcterms:W3CDTF">2026-08-24T07:45:53.168Z</dcterms:modified>
</cp:coreProperties>
</file>

<file path=docProps/custom.xml><?xml version="1.0" encoding="utf-8"?>
<Properties xmlns="http://schemas.openxmlformats.org/officeDocument/2006/custom-properties" xmlns:vt="http://schemas.openxmlformats.org/officeDocument/2006/docPropsVTypes"/>
</file>