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336" w:lineRule="auto"/>
        <w:jc w:val="center"/>
      </w:pPr>
      <w:r>
        <w:rPr>
          <w:rFonts w:ascii="Times New Roman" w:hAnsi="Times New Roman" w:cs="Times New Roman"/>
          <w:b/>
          <w:i w:val="0"/>
          <w:color w:val="000000"/>
          <w:sz w:val="28"/>
          <w:bCs/>
          <w:rtl w:val="1"/>
        </w:rPr>
        <w:t>עבודת גמר בקורס מחקר משפטי</w:t>
      </w:r>
    </w:p>
    <w:p>
      <w:pPr>
        <w:bidi w:val="1"/>
        <w:spacing w:before="0" w:after="40" w:line="336" w:lineRule="auto"/>
        <w:jc w:val="center"/>
      </w:pPr>
      <w:r>
        <w:rPr>
          <w:rFonts w:ascii="Times New Roman" w:hAnsi="Times New Roman" w:cs="Times New Roman"/>
          <w:b w:val="0"/>
          <w:i w:val="0"/>
          <w:color w:val="000000"/>
          <w:sz w:val="22"/>
          <w:rtl w:val="1"/>
        </w:rPr>
        <w:t>המרצה: ד"ר חנן מנדל</w:t>
      </w:r>
    </w:p>
    <w:p>
      <w:pPr>
        <w:bidi w:val="1"/>
        <w:spacing w:before="0" w:after="200" w:line="336" w:lineRule="auto"/>
        <w:jc w:val="center"/>
      </w:pPr>
      <w:r>
        <w:rPr>
          <w:rFonts w:ascii="Times New Roman" w:hAnsi="Times New Roman" w:cs="Times New Roman"/>
          <w:b w:val="0"/>
          <w:i w:val="0"/>
          <w:color w:val="000000"/>
          <w:sz w:val="22"/>
          <w:rtl w:val="1"/>
        </w:rPr>
        <w:t>שם הסטודנט/ית: ______________     ת.ז.: ______________</w:t>
      </w:r>
    </w:p>
    <w:p>
      <w:pPr>
        <w:bidi w:val="1"/>
        <w:spacing w:before="160" w:after="60" w:line="336" w:lineRule="auto"/>
        <w:jc w:val="right"/>
      </w:pPr>
      <w:r>
        <w:rPr>
          <w:rFonts w:ascii="Times New Roman" w:hAnsi="Times New Roman" w:cs="Times New Roman"/>
          <w:b/>
          <w:i w:val="0"/>
          <w:color w:val="000000"/>
          <w:sz w:val="25"/>
          <w:bCs/>
          <w:rtl w:val="1"/>
        </w:rPr>
        <w:t>א. שאלת המחקר</w:t>
      </w:r>
    </w:p>
    <w:p>
      <w:pPr>
        <w:bidi w:val="1"/>
        <w:spacing w:before="0" w:after="120" w:line="336" w:lineRule="auto"/>
        <w:jc w:val="both"/>
      </w:pPr>
      <w:r>
        <w:rPr>
          <w:rFonts w:ascii="Times New Roman" w:hAnsi="Times New Roman" w:cs="Times New Roman"/>
          <w:b w:val="0"/>
          <w:i w:val="0"/>
          <w:color w:val="000000"/>
          <w:sz w:val="24"/>
          <w:rtl w:val="1"/>
        </w:rPr>
        <w:t>האם, ובאילו תנאים, מהווה פעולת 'שיתוף' (Share) של פרסום פוגעני ברשת חברתית 'פרסום' של לשון הרע כמשמעו בסעיף 2 לחוק איסור לשון הרע, התשכ"ה-1965, המקים אחריות נזיקית עצמאית על המשתף (להבדיל מפעולת 'לייק'), וכיצד יש לאזן אחריות זו אל מול חופש הביטוי ברשת?</w:t>
      </w:r>
    </w:p>
    <w:p>
      <w:pPr>
        <w:bidi w:val="1"/>
        <w:spacing w:before="160" w:after="60" w:line="336" w:lineRule="auto"/>
        <w:jc w:val="right"/>
      </w:pPr>
      <w:r>
        <w:rPr>
          <w:rFonts w:ascii="Times New Roman" w:hAnsi="Times New Roman" w:cs="Times New Roman"/>
          <w:b/>
          <w:i w:val="0"/>
          <w:color w:val="000000"/>
          <w:sz w:val="25"/>
          <w:bCs/>
          <w:rtl w:val="1"/>
        </w:rPr>
        <w:t>ב. חקיקה רלוונטית</w:t>
      </w:r>
    </w:p>
    <w:p>
      <w:pPr>
        <w:bidi w:val="1"/>
        <w:spacing w:before="0" w:after="60" w:line="336" w:lineRule="auto"/>
        <w:jc w:val="both"/>
      </w:pPr>
      <w:r>
        <w:rPr>
          <w:rFonts w:ascii="Times New Roman" w:hAnsi="Times New Roman" w:cs="Times New Roman"/>
          <w:b w:val="0"/>
          <w:i w:val="0"/>
          <w:color w:val="000000"/>
          <w:sz w:val="24"/>
          <w:rtl w:val="1"/>
        </w:rPr>
        <w:t>חוק איסור לשון הרע, התשכ"ה-1965, ס"ח 240. הסעיפים הרלוונטיים: ס' 1 (הגדרת לשון הרע), ס' 2 (הגדרת 'פרסום'), ס' 7 (עוולה אזרחית) וס' 7א (פיצוי ללא הוכחת נזק).</w:t>
      </w:r>
    </w:p>
    <w:p>
      <w:pPr>
        <w:bidi w:val="1"/>
        <w:spacing w:before="160" w:after="60" w:line="336" w:lineRule="auto"/>
        <w:jc w:val="right"/>
      </w:pPr>
      <w:r>
        <w:rPr>
          <w:rFonts w:ascii="Times New Roman" w:hAnsi="Times New Roman" w:cs="Times New Roman"/>
          <w:b/>
          <w:i w:val="0"/>
          <w:color w:val="000000"/>
          <w:sz w:val="25"/>
          <w:bCs/>
          <w:rtl w:val="1"/>
        </w:rPr>
        <w:t>ג. פסק דין של בית המשפט העליון</w:t>
      </w:r>
    </w:p>
    <w:p>
      <w:pPr>
        <w:bidi w:val="1"/>
        <w:spacing w:before="0" w:after="60" w:line="336" w:lineRule="auto"/>
        <w:jc w:val="both"/>
      </w:pPr>
      <w:r>
        <w:rPr>
          <w:rFonts w:ascii="Times New Roman" w:hAnsi="Times New Roman" w:cs="Times New Roman"/>
          <w:b w:val="0"/>
          <w:i w:val="0"/>
          <w:color w:val="000000"/>
          <w:sz w:val="24"/>
          <w:rtl w:val="1"/>
        </w:rPr>
        <w:t>רע"א 1239/19 שאול נ' חברת ניידלי תקשורת בע"מ (נבו 8.1.2020). נקבע כי פעולת 'שיתוף' מהווה 'פרסום' לפי החוק ומקימה אחריות עצמאית על המשתף, ואילו לחיצת 'לייק' אינה מהווה 'פרסום'.</w:t>
      </w:r>
    </w:p>
    <w:p>
      <w:pPr>
        <w:bidi w:val="1"/>
        <w:spacing w:before="0" w:after="80" w:line="336" w:lineRule="auto"/>
        <w:jc w:val="both"/>
      </w:pPr>
      <w:r>
        <w:rPr>
          <w:rFonts w:ascii="Times New Roman" w:hAnsi="Times New Roman" w:cs="Times New Roman"/>
          <w:b w:val="0"/>
          <w:i w:val="0"/>
          <w:color w:val="000000"/>
          <w:sz w:val="21"/>
          <w:rtl w:val="1"/>
        </w:rPr>
        <w:t>פסק הדין במלואו מצורף לעבודה כנספח (קובץ נפרד).</w:t>
      </w:r>
    </w:p>
    <w:p>
      <w:pPr>
        <w:bidi w:val="1"/>
        <w:spacing w:before="160" w:after="60" w:line="336" w:lineRule="auto"/>
        <w:jc w:val="right"/>
      </w:pPr>
      <w:r>
        <w:rPr>
          <w:rFonts w:ascii="Times New Roman" w:hAnsi="Times New Roman" w:cs="Times New Roman"/>
          <w:b/>
          <w:i w:val="0"/>
          <w:color w:val="000000"/>
          <w:sz w:val="25"/>
          <w:bCs/>
          <w:rtl w:val="1"/>
        </w:rPr>
        <w:t>ד. מקור נוסף</w:t>
      </w:r>
    </w:p>
    <w:p>
      <w:pPr>
        <w:bidi w:val="1"/>
        <w:spacing w:before="0" w:after="60" w:line="336" w:lineRule="auto"/>
        <w:jc w:val="both"/>
      </w:pPr>
      <w:r>
        <w:rPr>
          <w:rFonts w:ascii="Times New Roman" w:hAnsi="Times New Roman" w:cs="Times New Roman"/>
          <w:b w:val="0"/>
          <w:i w:val="0"/>
          <w:color w:val="000000"/>
          <w:sz w:val="24"/>
          <w:rtl w:val="1"/>
        </w:rPr>
        <w:t>מיכל לביא "שיתוף לשון הרע ברשתות חברתיות, בעקבות רע"א 1239/19 שאול נ' נידיילי תקשורת בע"מ" משפטים על אתר טו 159 (2021).</w:t>
      </w:r>
    </w:p>
    <w:p>
      <w:pPr>
        <w:bidi w:val="1"/>
        <w:spacing w:before="0" w:after="80" w:line="336" w:lineRule="auto"/>
        <w:jc w:val="both"/>
      </w:pPr>
      <w:r>
        <w:rPr>
          <w:rFonts w:ascii="Times New Roman" w:hAnsi="Times New Roman" w:cs="Times New Roman"/>
          <w:b w:val="0"/>
          <w:i w:val="0"/>
          <w:color w:val="000000"/>
          <w:sz w:val="21"/>
          <w:rtl w:val="1"/>
        </w:rPr>
        <w:t>המאמר זמין במאגר נבו וגם באתר כתב העת. מצורף לעבודה כנספח.</w:t>
      </w:r>
    </w:p>
    <w:p>
      <w:pPr>
        <w:bidi w:val="1"/>
        <w:spacing w:before="160" w:after="60" w:line="336" w:lineRule="auto"/>
        <w:jc w:val="right"/>
      </w:pPr>
      <w:r>
        <w:rPr>
          <w:rFonts w:ascii="Times New Roman" w:hAnsi="Times New Roman" w:cs="Times New Roman"/>
          <w:b/>
          <w:i w:val="0"/>
          <w:color w:val="000000"/>
          <w:sz w:val="25"/>
          <w:bCs/>
          <w:rtl w:val="1"/>
        </w:rPr>
        <w:t>ה. המצב המשפטי הקיים</w:t>
      </w:r>
    </w:p>
    <w:p>
      <w:pPr>
        <w:bidi w:val="1"/>
        <w:spacing w:before="0" w:after="120" w:line="336" w:lineRule="auto"/>
        <w:jc w:val="both"/>
      </w:pPr>
      <w:r>
        <w:rPr>
          <w:rFonts w:ascii="Times New Roman" w:hAnsi="Times New Roman" w:cs="Times New Roman"/>
          <w:b w:val="0"/>
          <w:i w:val="0"/>
          <w:color w:val="000000"/>
          <w:sz w:val="24"/>
          <w:rtl w:val="1"/>
        </w:rPr>
        <w:t>דיני לשון הרע בישראל חלים במלואם על פרסומים ברשתות החברתיות ובאינטרנט, שכן הגדרת 'פרסום' שבסעיף 2 לחוק איסור לשון הרע רחבה וחלה על כל אמצעי, לרבות פרסום מקוון.</w:t>
      </w:r>
      <w:r>
        <w:rPr>
          <w:rFonts w:ascii="Times New Roman" w:hAnsi="Times New Roman" w:cs="Times New Roman"/>
          <w:b w:val="0"/>
          <w:i w:val="0"/>
          <w:color w:val="000000"/>
          <w:sz w:val="24"/>
          <w:vertAlign w:val="superscript"/>
          <w:rtl w:val="1"/>
        </w:rPr>
        <w:t>1</w:t>
      </w:r>
      <w:r>
        <w:rPr>
          <w:rFonts w:ascii="Times New Roman" w:hAnsi="Times New Roman" w:cs="Times New Roman"/>
          <w:b w:val="0"/>
          <w:i w:val="0"/>
          <w:color w:val="000000"/>
          <w:sz w:val="24"/>
          <w:rtl w:val="1"/>
        </w:rPr>
        <w:t xml:space="preserve"> באשר לשאלת המחקר, קבע בית המשפט העליון בעניין שאול הבחנה מהותית: פעולת 'שיתוף' של תוכן פוגעני מהווה 'פרסום' עצמאי המקים אחריות על המשתף, בעוד לחיצת 'לייק' אינה עולה כדי 'פרסום' ואינה מקימה אחריות.</w:t>
      </w:r>
      <w:r>
        <w:rPr>
          <w:rFonts w:ascii="Times New Roman" w:hAnsi="Times New Roman" w:cs="Times New Roman"/>
          <w:b w:val="0"/>
          <w:i w:val="0"/>
          <w:color w:val="000000"/>
          <w:sz w:val="24"/>
          <w:vertAlign w:val="superscript"/>
          <w:rtl w:val="1"/>
        </w:rPr>
        <w:t>2</w:t>
      </w:r>
      <w:r>
        <w:rPr>
          <w:rFonts w:ascii="Times New Roman" w:hAnsi="Times New Roman" w:cs="Times New Roman"/>
          <w:b w:val="0"/>
          <w:i w:val="0"/>
          <w:color w:val="000000"/>
          <w:sz w:val="24"/>
          <w:rtl w:val="1"/>
        </w:rPr>
        <w:t xml:space="preserve"> ההיגיון הוא שהשיתוף מפיץ את התוכן לקהל חדש ויוצר עותק נגיש שלו, ואילו ה'לייק' מבטא עמדה או רגש בלבד. לצד זאת נדרש בית המשפט לאזן בין ההגנה על שמו הטוב של הנפגע לבין חופש הביטוי של המשתמש ברשת, ולכן ריסן את היקף האחריות והפיצוי כדי שלא להצר יתר על המידה את השיח המקוון.</w:t>
      </w:r>
      <w:r>
        <w:rPr>
          <w:rFonts w:ascii="Times New Roman" w:hAnsi="Times New Roman" w:cs="Times New Roman"/>
          <w:b w:val="0"/>
          <w:i w:val="0"/>
          <w:color w:val="000000"/>
          <w:sz w:val="24"/>
          <w:vertAlign w:val="superscript"/>
          <w:rtl w:val="1"/>
        </w:rPr>
        <w:t>2</w:t>
      </w:r>
      <w:r>
        <w:rPr>
          <w:rFonts w:ascii="Times New Roman" w:hAnsi="Times New Roman" w:cs="Times New Roman"/>
          <w:b w:val="0"/>
          <w:i w:val="0"/>
          <w:color w:val="000000"/>
          <w:sz w:val="24"/>
          <w:rtl w:val="1"/>
        </w:rPr>
        <w:t xml:space="preserve"> בספרות הובעה עמדה ביקורתית המציעה מודל של אחריות שיורית, שלפיו תוטל אחריות על המשתף בעיקר כאשר לא ניתן לאתר את המפרסם המקורי, ובהתחשב בזהות המשתף ובעוצמת השפעתו.</w:t>
      </w:r>
      <w:r>
        <w:rPr>
          <w:rFonts w:ascii="Times New Roman" w:hAnsi="Times New Roman" w:cs="Times New Roman"/>
          <w:b w:val="0"/>
          <w:i w:val="0"/>
          <w:color w:val="000000"/>
          <w:sz w:val="24"/>
          <w:vertAlign w:val="superscript"/>
          <w:rtl w:val="1"/>
        </w:rPr>
        <w:t>3</w:t>
      </w:r>
      <w:r>
        <w:rPr>
          <w:rFonts w:ascii="Times New Roman" w:hAnsi="Times New Roman" w:cs="Times New Roman"/>
          <w:b w:val="0"/>
          <w:i w:val="0"/>
          <w:color w:val="000000"/>
          <w:sz w:val="24"/>
          <w:rtl w:val="1"/>
        </w:rPr>
        <w:t xml:space="preserve"> נכון להיום, ההלכה המנחה מבחינה בין צורות מעורבות שונות ברשת ומכפיפה את השיתוף, ולא את הלייק, למשטר האחריות בלשון הרע.</w:t>
      </w:r>
    </w:p>
    <w:p>
      <w:pPr>
        <w:bidi w:val="1"/>
        <w:spacing w:before="200" w:after="60" w:line="336" w:lineRule="auto"/>
        <w:jc w:val="right"/>
      </w:pPr>
      <w:r>
        <w:rPr>
          <w:rFonts w:ascii="Times New Roman" w:hAnsi="Times New Roman" w:cs="Times New Roman"/>
          <w:b/>
          <w:i w:val="0"/>
          <w:color w:val="000000"/>
          <w:sz w:val="22"/>
          <w:bCs/>
          <w:rtl w:val="1"/>
        </w:rPr>
        <w:t>הערות שוליים</w:t>
      </w:r>
    </w:p>
    <w:p>
      <w:pPr>
        <w:bidi w:val="1"/>
        <w:spacing w:before="0" w:after="40" w:line="288" w:lineRule="auto"/>
        <w:jc w:val="right"/>
      </w:pPr>
      <w:r>
        <w:rPr>
          <w:rFonts w:ascii="Times New Roman" w:hAnsi="Times New Roman" w:cs="Times New Roman"/>
          <w:b w:val="0"/>
          <w:i w:val="0"/>
          <w:color w:val="000000"/>
          <w:sz w:val="20"/>
          <w:rtl w:val="1"/>
        </w:rPr>
        <w:t>1.  חוק איסור לשון הרע, התשכ"ה-1965, ס"ח 240, ס' 1-2.</w:t>
      </w:r>
    </w:p>
    <w:p>
      <w:pPr>
        <w:bidi w:val="1"/>
        <w:spacing w:before="0" w:after="40" w:line="288" w:lineRule="auto"/>
        <w:jc w:val="right"/>
      </w:pPr>
      <w:r>
        <w:rPr>
          <w:rFonts w:ascii="Times New Roman" w:hAnsi="Times New Roman" w:cs="Times New Roman"/>
          <w:b w:val="0"/>
          <w:i w:val="0"/>
          <w:color w:val="000000"/>
          <w:sz w:val="20"/>
          <w:rtl w:val="1"/>
        </w:rPr>
        <w:t>2.  רע"א 1239/19 שאול נ' חברת ניידלי תקשורת בע"מ (נבו 8.1.2020).</w:t>
      </w:r>
    </w:p>
    <w:p>
      <w:pPr>
        <w:bidi w:val="1"/>
        <w:spacing w:before="0" w:after="40" w:line="288" w:lineRule="auto"/>
        <w:jc w:val="right"/>
      </w:pPr>
      <w:r>
        <w:rPr>
          <w:rFonts w:ascii="Times New Roman" w:hAnsi="Times New Roman" w:cs="Times New Roman"/>
          <w:b w:val="0"/>
          <w:i w:val="0"/>
          <w:color w:val="000000"/>
          <w:sz w:val="20"/>
          <w:rtl w:val="1"/>
        </w:rPr>
        <w:t>3.  מיכל לביא "שיתוף לשון הרע ברשתות חברתיות, בעקבות רע"א 1239/19 שאול נ' נידיילי תקשורת בע"מ" משפטים על אתר טו 159 (2021).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