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40" w:line="336" w:lineRule="auto"/>
        <w:jc w:val="center"/>
      </w:pPr>
      <w:r>
        <w:rPr>
          <w:rFonts w:ascii="Times New Roman" w:hAnsi="Times New Roman" w:cs="Times New Roman"/>
          <w:b/>
          <w:i w:val="0"/>
          <w:color w:val="000000"/>
          <w:sz w:val="28"/>
          <w:bCs/>
          <w:rtl w:val="1"/>
        </w:rPr>
        <w:t>עבודת גמר בקורס מחקר משפטי</w:t>
      </w:r>
    </w:p>
    <w:p>
      <w:pPr>
        <w:bidi w:val="1"/>
        <w:spacing w:before="0" w:after="40" w:line="336" w:lineRule="auto"/>
        <w:jc w:val="center"/>
      </w:pPr>
      <w:r>
        <w:rPr>
          <w:rFonts w:ascii="Times New Roman" w:hAnsi="Times New Roman" w:cs="Times New Roman"/>
          <w:b w:val="0"/>
          <w:i w:val="0"/>
          <w:color w:val="000000"/>
          <w:sz w:val="22"/>
          <w:rtl w:val="1"/>
        </w:rPr>
        <w:t>המרצה: ד"ר חנן מנדל</w:t>
      </w:r>
    </w:p>
    <w:p>
      <w:pPr>
        <w:bidi w:val="1"/>
        <w:spacing w:before="0" w:after="200" w:line="336" w:lineRule="auto"/>
        <w:jc w:val="center"/>
      </w:pPr>
      <w:r>
        <w:rPr>
          <w:rFonts w:ascii="Times New Roman" w:hAnsi="Times New Roman" w:cs="Times New Roman"/>
          <w:b w:val="0"/>
          <w:i w:val="0"/>
          <w:color w:val="000000"/>
          <w:sz w:val="22"/>
          <w:rtl w:val="1"/>
        </w:rPr>
        <w:t>שם הסטודנט/ית: ______________     ת.ז.: ______________</w:t>
      </w:r>
    </w:p>
    <w:p>
      <w:pPr>
        <w:bidi w:val="1"/>
        <w:spacing w:before="160" w:after="60" w:line="336" w:lineRule="auto"/>
        <w:jc w:val="right"/>
      </w:pPr>
      <w:r>
        <w:rPr>
          <w:rFonts w:ascii="Times New Roman" w:hAnsi="Times New Roman" w:cs="Times New Roman"/>
          <w:b/>
          <w:i w:val="0"/>
          <w:color w:val="000000"/>
          <w:sz w:val="25"/>
          <w:bCs/>
          <w:rtl w:val="1"/>
        </w:rPr>
        <w:t>א. שאלת המחקר</w:t>
      </w:r>
    </w:p>
    <w:p>
      <w:pPr>
        <w:bidi w:val="1"/>
        <w:spacing w:before="0" w:after="120" w:line="336" w:lineRule="auto"/>
        <w:jc w:val="both"/>
      </w:pPr>
      <w:r>
        <w:rPr>
          <w:rFonts w:ascii="Times New Roman" w:hAnsi="Times New Roman" w:cs="Times New Roman"/>
          <w:b w:val="0"/>
          <w:i w:val="0"/>
          <w:color w:val="000000"/>
          <w:sz w:val="24"/>
          <w:rtl w:val="1"/>
        </w:rPr>
        <w:t>האם, ובאילו תנאים, עולה בקנה אחד עם הזכות החוקתית לפרטיות (סעיף 7 לחוק-יסוד: כבוד האדם וחירותו) הסמכתן של רשויות אכיפת החוק לאסוף ולעבד נתוני תקשורת (נתוני מנוי, מיקום ותעבורה) על אזרחים, וכיצד יש להחיל את מבחני פסקת ההגבלה והמידתיות לשם איזון בין הפרטיות לבין האינטרס הציבורי בביטחון ובאכיפת החוק?</w:t>
      </w:r>
    </w:p>
    <w:p>
      <w:pPr>
        <w:bidi w:val="1"/>
        <w:spacing w:before="160" w:after="60" w:line="336" w:lineRule="auto"/>
        <w:jc w:val="right"/>
      </w:pPr>
      <w:r>
        <w:rPr>
          <w:rFonts w:ascii="Times New Roman" w:hAnsi="Times New Roman" w:cs="Times New Roman"/>
          <w:b/>
          <w:i w:val="0"/>
          <w:color w:val="000000"/>
          <w:sz w:val="25"/>
          <w:bCs/>
          <w:rtl w:val="1"/>
        </w:rPr>
        <w:t>ב. חקיקה רלוונטית</w:t>
      </w:r>
    </w:p>
    <w:p>
      <w:pPr>
        <w:bidi w:val="1"/>
        <w:spacing w:before="0" w:after="60" w:line="336" w:lineRule="auto"/>
        <w:jc w:val="both"/>
      </w:pPr>
      <w:r>
        <w:rPr>
          <w:rFonts w:ascii="Times New Roman" w:hAnsi="Times New Roman" w:cs="Times New Roman"/>
          <w:b w:val="0"/>
          <w:i w:val="0"/>
          <w:color w:val="000000"/>
          <w:sz w:val="24"/>
          <w:rtl w:val="1"/>
        </w:rPr>
        <w:t>חוק-יסוד: כבוד האדם וחירותו, ס"ח התשנ"ב 150, ס' 7 (הזכות לפרטיות).</w:t>
      </w:r>
    </w:p>
    <w:p>
      <w:pPr>
        <w:bidi w:val="1"/>
        <w:spacing w:before="0" w:after="60" w:line="336" w:lineRule="auto"/>
        <w:jc w:val="both"/>
      </w:pPr>
      <w:r>
        <w:rPr>
          <w:rFonts w:ascii="Times New Roman" w:hAnsi="Times New Roman" w:cs="Times New Roman"/>
          <w:b w:val="0"/>
          <w:i w:val="0"/>
          <w:color w:val="000000"/>
          <w:sz w:val="24"/>
          <w:rtl w:val="1"/>
        </w:rPr>
        <w:t>חוק הגנת הפרטיות, התשמ"א-1981, ס"ח 1011.</w:t>
      </w:r>
    </w:p>
    <w:p>
      <w:pPr>
        <w:bidi w:val="1"/>
        <w:spacing w:before="160" w:after="60" w:line="336" w:lineRule="auto"/>
        <w:jc w:val="right"/>
      </w:pPr>
      <w:r>
        <w:rPr>
          <w:rFonts w:ascii="Times New Roman" w:hAnsi="Times New Roman" w:cs="Times New Roman"/>
          <w:b/>
          <w:i w:val="0"/>
          <w:color w:val="000000"/>
          <w:sz w:val="25"/>
          <w:bCs/>
          <w:rtl w:val="1"/>
        </w:rPr>
        <w:t>ג. פסק דין של בית המשפט העליון</w:t>
      </w:r>
    </w:p>
    <w:p>
      <w:pPr>
        <w:bidi w:val="1"/>
        <w:spacing w:before="0" w:after="60" w:line="336" w:lineRule="auto"/>
        <w:jc w:val="both"/>
      </w:pPr>
      <w:r>
        <w:rPr>
          <w:rFonts w:ascii="Times New Roman" w:hAnsi="Times New Roman" w:cs="Times New Roman"/>
          <w:b w:val="0"/>
          <w:i w:val="0"/>
          <w:color w:val="000000"/>
          <w:sz w:val="24"/>
          <w:rtl w:val="1"/>
        </w:rPr>
        <w:t>בג"ץ 3809/08 האגודה לזכויות האזרח בישראל נ' משטרת ישראל (נבו 28.5.2012). העתירה נגד חוק סדר הדין הפלילי (סמכויות אכיפה, נתוני תקשורת), התשס"ח-2007 נדחתה, אך נקבעה פרשנות מצמצמת ומידתית להפעלת סמכות איסוף נתוני התקשורת.</w:t>
      </w:r>
    </w:p>
    <w:p>
      <w:pPr>
        <w:bidi w:val="1"/>
        <w:spacing w:before="0" w:after="80" w:line="336" w:lineRule="auto"/>
        <w:jc w:val="both"/>
      </w:pPr>
      <w:r>
        <w:rPr>
          <w:rFonts w:ascii="Times New Roman" w:hAnsi="Times New Roman" w:cs="Times New Roman"/>
          <w:b w:val="0"/>
          <w:i w:val="0"/>
          <w:color w:val="000000"/>
          <w:sz w:val="21"/>
          <w:rtl w:val="1"/>
        </w:rPr>
        <w:t>פסק הדין במלואו מצורף לעבודה כנספח (קובץ נפרד).</w:t>
      </w:r>
    </w:p>
    <w:p>
      <w:pPr>
        <w:bidi w:val="1"/>
        <w:spacing w:before="160" w:after="60" w:line="336" w:lineRule="auto"/>
        <w:jc w:val="right"/>
      </w:pPr>
      <w:r>
        <w:rPr>
          <w:rFonts w:ascii="Times New Roman" w:hAnsi="Times New Roman" w:cs="Times New Roman"/>
          <w:b/>
          <w:i w:val="0"/>
          <w:color w:val="000000"/>
          <w:sz w:val="25"/>
          <w:bCs/>
          <w:rtl w:val="1"/>
        </w:rPr>
        <w:t>ד. מקור נוסף</w:t>
      </w:r>
    </w:p>
    <w:p>
      <w:pPr>
        <w:bidi w:val="1"/>
        <w:spacing w:before="0" w:after="60" w:line="336" w:lineRule="auto"/>
        <w:jc w:val="both"/>
      </w:pPr>
      <w:r>
        <w:rPr>
          <w:rFonts w:ascii="Times New Roman" w:hAnsi="Times New Roman" w:cs="Times New Roman"/>
          <w:b w:val="0"/>
          <w:i w:val="0"/>
          <w:color w:val="000000"/>
          <w:sz w:val="24"/>
          <w:rtl w:val="1"/>
        </w:rPr>
        <w:t>מיכאל בירנהק "פרטיות במשבר: הנדסה חוקתית והנדסת פרטיות" המשפט (2021).</w:t>
      </w:r>
    </w:p>
    <w:p>
      <w:pPr>
        <w:bidi w:val="1"/>
        <w:spacing w:before="0" w:after="80" w:line="336" w:lineRule="auto"/>
        <w:jc w:val="both"/>
      </w:pPr>
      <w:r>
        <w:rPr>
          <w:rFonts w:ascii="Times New Roman" w:hAnsi="Times New Roman" w:cs="Times New Roman"/>
          <w:b w:val="0"/>
          <w:i w:val="0"/>
          <w:color w:val="000000"/>
          <w:sz w:val="21"/>
          <w:rtl w:val="1"/>
        </w:rPr>
        <w:t>המאמר זמין באתר הפקולטה למשפטים ובמאגר נבו. מצורף לעבודה כנספח. (יש להשלים כרך ושנה מדויקים מתוך גוף המאמר.)</w:t>
      </w:r>
    </w:p>
    <w:p>
      <w:pPr>
        <w:bidi w:val="1"/>
        <w:spacing w:before="160" w:after="60" w:line="336" w:lineRule="auto"/>
        <w:jc w:val="right"/>
      </w:pPr>
      <w:r>
        <w:rPr>
          <w:rFonts w:ascii="Times New Roman" w:hAnsi="Times New Roman" w:cs="Times New Roman"/>
          <w:b/>
          <w:i w:val="0"/>
          <w:color w:val="000000"/>
          <w:sz w:val="25"/>
          <w:bCs/>
          <w:rtl w:val="1"/>
        </w:rPr>
        <w:t>ה. המצב המשפטי הקיים</w:t>
      </w:r>
    </w:p>
    <w:p>
      <w:pPr>
        <w:bidi w:val="1"/>
        <w:spacing w:before="0" w:after="120" w:line="336" w:lineRule="auto"/>
        <w:jc w:val="both"/>
      </w:pPr>
      <w:r>
        <w:rPr>
          <w:rFonts w:ascii="Times New Roman" w:hAnsi="Times New Roman" w:cs="Times New Roman"/>
          <w:b w:val="0"/>
          <w:i w:val="0"/>
          <w:color w:val="000000"/>
          <w:sz w:val="24"/>
          <w:rtl w:val="1"/>
        </w:rPr>
        <w:t>הזכות לפרטיות בישראל היא זכות חוקתית מוגנת מכוח סעיף 7 לחוק-יסוד: כבוד האדם וחירותו, ולצדה מסדיר חוק הגנת הפרטיות את גבולות הפגיעה המותרת ואת ההגנה על מאגרי מידע.</w:t>
      </w:r>
      <w:r>
        <w:rPr>
          <w:rFonts w:ascii="Times New Roman" w:hAnsi="Times New Roman" w:cs="Times New Roman"/>
          <w:b w:val="0"/>
          <w:i w:val="0"/>
          <w:color w:val="000000"/>
          <w:sz w:val="24"/>
          <w:vertAlign w:val="superscript"/>
          <w:rtl w:val="1"/>
        </w:rPr>
        <w:t>1</w:t>
      </w:r>
      <w:r>
        <w:rPr>
          <w:rFonts w:ascii="Times New Roman" w:hAnsi="Times New Roman" w:cs="Times New Roman"/>
          <w:b w:val="0"/>
          <w:i w:val="0"/>
          <w:color w:val="000000"/>
          <w:sz w:val="24"/>
          <w:rtl w:val="1"/>
        </w:rPr>
        <w:t xml:space="preserve"> משכך, פגיעה של רשויות המדינה בפרטיות, לרבות איסוף נתוני תקשורת ומיקום, כפופה לתנאי פסקת ההגבלה: הסמכה בחוק ההולם את ערכי המדינה, לתכלית ראויה, ובמידה שאינה עולה על הנדרש. בעניין האגודה לזכויות האזרח קבע בית המשפט העליון כי אף שמניעת עבירות ואכיפת החוק הן תכלית ראויה, יש לפרש את סמכויות איסוף נתוני התקשורת בצמצום ובאופן מידתי, תוך העדפת פיקוח שיפוטי ומזעור הפגיעה בפרטיותם של מי שאינם מעורבים בעבירה.</w:t>
      </w:r>
      <w:r>
        <w:rPr>
          <w:rFonts w:ascii="Times New Roman" w:hAnsi="Times New Roman" w:cs="Times New Roman"/>
          <w:b w:val="0"/>
          <w:i w:val="0"/>
          <w:color w:val="000000"/>
          <w:sz w:val="24"/>
          <w:vertAlign w:val="superscript"/>
          <w:rtl w:val="1"/>
        </w:rPr>
        <w:t>2</w:t>
      </w:r>
      <w:r>
        <w:rPr>
          <w:rFonts w:ascii="Times New Roman" w:hAnsi="Times New Roman" w:cs="Times New Roman"/>
          <w:b w:val="0"/>
          <w:i w:val="0"/>
          <w:color w:val="000000"/>
          <w:sz w:val="24"/>
          <w:rtl w:val="1"/>
        </w:rPr>
        <w:t xml:space="preserve"> הלכה זו משקפת את גישת האיזון הנוהגת: לא איסור מוחלט על מעקב מדינתי, אלא דרישה לבסיס חוקי מפורש, לתכלית קונקרטית ולמנגנוני בקרה ושקיפות. הספרות מצביעה על כך שבעידן הטכנולוגי אין די באיזון נורמטיבי אלא נדרשת גם 'הנדסת פרטיות', כלומר עיצוב הכלים הטכנולוגיים כך שיצמצמו מראש את הפגיעה.</w:t>
      </w:r>
      <w:r>
        <w:rPr>
          <w:rFonts w:ascii="Times New Roman" w:hAnsi="Times New Roman" w:cs="Times New Roman"/>
          <w:b w:val="0"/>
          <w:i w:val="0"/>
          <w:color w:val="000000"/>
          <w:sz w:val="24"/>
          <w:vertAlign w:val="superscript"/>
          <w:rtl w:val="1"/>
        </w:rPr>
        <w:t>3</w:t>
      </w:r>
      <w:r>
        <w:rPr>
          <w:rFonts w:ascii="Times New Roman" w:hAnsi="Times New Roman" w:cs="Times New Roman"/>
          <w:b w:val="0"/>
          <w:i w:val="0"/>
          <w:color w:val="000000"/>
          <w:sz w:val="24"/>
          <w:rtl w:val="1"/>
        </w:rPr>
        <w:t xml:space="preserve"> בכך עמדת הדין מציבה את הפרטיות כזכות חזקה אך יחסית, הנסוגה מפני אינטרס ציבורי רק בהתקיים תנאי המידתיות במלואם.</w:t>
      </w:r>
    </w:p>
    <w:p>
      <w:pPr>
        <w:bidi w:val="1"/>
        <w:spacing w:before="200" w:after="60" w:line="336" w:lineRule="auto"/>
        <w:jc w:val="right"/>
      </w:pPr>
      <w:r>
        <w:rPr>
          <w:rFonts w:ascii="Times New Roman" w:hAnsi="Times New Roman" w:cs="Times New Roman"/>
          <w:b/>
          <w:i w:val="0"/>
          <w:color w:val="000000"/>
          <w:sz w:val="22"/>
          <w:bCs/>
          <w:rtl w:val="1"/>
        </w:rPr>
        <w:t>הערות שוליים</w:t>
      </w:r>
    </w:p>
    <w:p>
      <w:pPr>
        <w:bidi w:val="1"/>
        <w:spacing w:before="0" w:after="40" w:line="288" w:lineRule="auto"/>
        <w:jc w:val="right"/>
      </w:pPr>
      <w:r>
        <w:rPr>
          <w:rFonts w:ascii="Times New Roman" w:hAnsi="Times New Roman" w:cs="Times New Roman"/>
          <w:b w:val="0"/>
          <w:i w:val="0"/>
          <w:color w:val="000000"/>
          <w:sz w:val="20"/>
          <w:rtl w:val="1"/>
        </w:rPr>
        <w:t>1.  חוק-יסוד: כבוד האדם וחירותו, ס"ח התשנ"ב 150, ס' 7; חוק הגנת הפרטיות, התשמ"א-1981, ס"ח 1011.</w:t>
      </w:r>
    </w:p>
    <w:p>
      <w:pPr>
        <w:bidi w:val="1"/>
        <w:spacing w:before="0" w:after="40" w:line="288" w:lineRule="auto"/>
        <w:jc w:val="right"/>
      </w:pPr>
      <w:r>
        <w:rPr>
          <w:rFonts w:ascii="Times New Roman" w:hAnsi="Times New Roman" w:cs="Times New Roman"/>
          <w:b w:val="0"/>
          <w:i w:val="0"/>
          <w:color w:val="000000"/>
          <w:sz w:val="20"/>
          <w:rtl w:val="1"/>
        </w:rPr>
        <w:t>2.  בג"ץ 3809/08 האגודה לזכויות האזרח בישראל נ' משטרת ישראל (נבו 28.5.2012).</w:t>
      </w:r>
    </w:p>
    <w:p>
      <w:pPr>
        <w:bidi w:val="1"/>
        <w:spacing w:before="0" w:after="40" w:line="288" w:lineRule="auto"/>
        <w:jc w:val="right"/>
      </w:pPr>
      <w:r>
        <w:rPr>
          <w:rFonts w:ascii="Times New Roman" w:hAnsi="Times New Roman" w:cs="Times New Roman"/>
          <w:b w:val="0"/>
          <w:i w:val="0"/>
          <w:color w:val="000000"/>
          <w:sz w:val="20"/>
          <w:rtl w:val="1"/>
        </w:rPr>
        <w:t>3.  מיכאל בירנהק "פרטיות במשבר: הנדסה חוקתית והנדסת פרטיות" המשפט (2021).</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