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40" w:line="336" w:lineRule="auto"/>
        <w:jc w:val="center"/>
      </w:pPr>
      <w:r>
        <w:rPr>
          <w:rFonts w:ascii="Times New Roman" w:hAnsi="Times New Roman" w:cs="Times New Roman"/>
          <w:b/>
          <w:i w:val="0"/>
          <w:color w:val="000000"/>
          <w:sz w:val="28"/>
          <w:bCs/>
          <w:rtl w:val="1"/>
        </w:rPr>
        <w:t>עבודת גמר בקורס מחקר משפטי</w:t>
      </w:r>
    </w:p>
    <w:p>
      <w:pPr>
        <w:bidi w:val="1"/>
        <w:spacing w:before="0" w:after="40" w:line="336" w:lineRule="auto"/>
        <w:jc w:val="center"/>
      </w:pPr>
      <w:r>
        <w:rPr>
          <w:rFonts w:ascii="Times New Roman" w:hAnsi="Times New Roman" w:cs="Times New Roman"/>
          <w:b w:val="0"/>
          <w:i w:val="0"/>
          <w:color w:val="000000"/>
          <w:sz w:val="22"/>
          <w:rtl w:val="1"/>
        </w:rPr>
        <w:t>המרצה: ד"ר חנן מנדל</w:t>
      </w:r>
    </w:p>
    <w:p>
      <w:pPr>
        <w:bidi w:val="1"/>
        <w:spacing w:before="0" w:after="200" w:line="336" w:lineRule="auto"/>
        <w:jc w:val="center"/>
      </w:pPr>
      <w:r>
        <w:rPr>
          <w:rFonts w:ascii="Times New Roman" w:hAnsi="Times New Roman" w:cs="Times New Roman"/>
          <w:b w:val="0"/>
          <w:i w:val="0"/>
          <w:color w:val="000000"/>
          <w:sz w:val="22"/>
          <w:rtl w:val="1"/>
        </w:rPr>
        <w:t>שם הסטודנט/ית: ______________     ת.ז.: ______________</w:t>
      </w:r>
    </w:p>
    <w:p>
      <w:pPr>
        <w:bidi w:val="1"/>
        <w:spacing w:before="160" w:after="60" w:line="336" w:lineRule="auto"/>
        <w:jc w:val="right"/>
      </w:pPr>
      <w:r>
        <w:rPr>
          <w:rFonts w:ascii="Times New Roman" w:hAnsi="Times New Roman" w:cs="Times New Roman"/>
          <w:b/>
          <w:i w:val="0"/>
          <w:color w:val="000000"/>
          <w:sz w:val="25"/>
          <w:bCs/>
          <w:rtl w:val="1"/>
        </w:rPr>
        <w:t>א. שאלת המחקר</w:t>
      </w:r>
    </w:p>
    <w:p>
      <w:pPr>
        <w:bidi w:val="1"/>
        <w:spacing w:before="0" w:after="120" w:line="336" w:lineRule="auto"/>
        <w:jc w:val="both"/>
      </w:pPr>
      <w:r>
        <w:rPr>
          <w:rFonts w:ascii="Times New Roman" w:hAnsi="Times New Roman" w:cs="Times New Roman"/>
          <w:b w:val="0"/>
          <w:i w:val="0"/>
          <w:color w:val="000000"/>
          <w:sz w:val="24"/>
          <w:rtl w:val="1"/>
        </w:rPr>
        <w:t>באילו תנאים עומדת תניית הגבלת עיסוק (אי-תחרות) בחוזה עבודה במבחן תקנת הציבור לפי סעיף 30 לחוק החוזים (חלק כללי), התשל"ג-1973, לאור זכות היסוד לחופש העיסוק? כלומר, מהו 'האינטרס הלגיטימי' של המעסיק (מעבר למניעת תחרות כשלעצמה) המצדיק פגיעה בחופש העיסוק של העובד, וכיצד נבחנת מידתיות ההגבלה בהיקף, בזמן ובמרחב?</w:t>
      </w:r>
    </w:p>
    <w:p>
      <w:pPr>
        <w:bidi w:val="1"/>
        <w:spacing w:before="160" w:after="60" w:line="336" w:lineRule="auto"/>
        <w:jc w:val="right"/>
      </w:pPr>
      <w:r>
        <w:rPr>
          <w:rFonts w:ascii="Times New Roman" w:hAnsi="Times New Roman" w:cs="Times New Roman"/>
          <w:b/>
          <w:i w:val="0"/>
          <w:color w:val="000000"/>
          <w:sz w:val="25"/>
          <w:bCs/>
          <w:rtl w:val="1"/>
        </w:rPr>
        <w:t>ב. חקיקה רלוונטית</w:t>
      </w:r>
    </w:p>
    <w:p>
      <w:pPr>
        <w:bidi w:val="1"/>
        <w:spacing w:before="0" w:after="60" w:line="336" w:lineRule="auto"/>
        <w:jc w:val="both"/>
      </w:pPr>
      <w:r>
        <w:rPr>
          <w:rFonts w:ascii="Times New Roman" w:hAnsi="Times New Roman" w:cs="Times New Roman"/>
          <w:b w:val="0"/>
          <w:i w:val="0"/>
          <w:color w:val="000000"/>
          <w:sz w:val="24"/>
          <w:rtl w:val="1"/>
        </w:rPr>
        <w:t>חוק-יסוד: חופש העיסוק, ס"ח התשנ"ד 90, ס' 3-4.</w:t>
      </w:r>
    </w:p>
    <w:p>
      <w:pPr>
        <w:bidi w:val="1"/>
        <w:spacing w:before="0" w:after="60" w:line="336" w:lineRule="auto"/>
        <w:jc w:val="both"/>
      </w:pPr>
      <w:r>
        <w:rPr>
          <w:rFonts w:ascii="Times New Roman" w:hAnsi="Times New Roman" w:cs="Times New Roman"/>
          <w:b w:val="0"/>
          <w:i w:val="0"/>
          <w:color w:val="000000"/>
          <w:sz w:val="24"/>
          <w:rtl w:val="1"/>
        </w:rPr>
        <w:t>חוק החוזים (חלק כללי), התשל"ג-1973, ס"ח 118, ס' 30.</w:t>
      </w:r>
    </w:p>
    <w:p>
      <w:pPr>
        <w:bidi w:val="1"/>
        <w:spacing w:before="160" w:after="60" w:line="336" w:lineRule="auto"/>
        <w:jc w:val="right"/>
      </w:pPr>
      <w:r>
        <w:rPr>
          <w:rFonts w:ascii="Times New Roman" w:hAnsi="Times New Roman" w:cs="Times New Roman"/>
          <w:b/>
          <w:i w:val="0"/>
          <w:color w:val="000000"/>
          <w:sz w:val="25"/>
          <w:bCs/>
          <w:rtl w:val="1"/>
        </w:rPr>
        <w:t>ג. פסק דין של בית המשפט העליון</w:t>
      </w:r>
    </w:p>
    <w:p>
      <w:pPr>
        <w:bidi w:val="1"/>
        <w:spacing w:before="0" w:after="60" w:line="336" w:lineRule="auto"/>
        <w:jc w:val="both"/>
      </w:pPr>
      <w:r>
        <w:rPr>
          <w:rFonts w:ascii="Times New Roman" w:hAnsi="Times New Roman" w:cs="Times New Roman"/>
          <w:b w:val="0"/>
          <w:i w:val="0"/>
          <w:color w:val="000000"/>
          <w:sz w:val="24"/>
          <w:rtl w:val="1"/>
        </w:rPr>
        <w:t>ע"א 6601/96 AES Systems Inc. נ' סער, פ"ד נד(3) 850 (2000). נקבע כי תניה המגבילה את חופש העיסוק ואינה מגנה על אינטרס לגיטימי של המעסיק (מעבר למניעת התחרות עצמה) נוגדת את תקנת הציבור ובטלה לפי ס' 30 לחוק החוזים.</w:t>
      </w:r>
    </w:p>
    <w:p>
      <w:pPr>
        <w:bidi w:val="1"/>
        <w:spacing w:before="0" w:after="80" w:line="336" w:lineRule="auto"/>
        <w:jc w:val="both"/>
      </w:pPr>
      <w:r>
        <w:rPr>
          <w:rFonts w:ascii="Times New Roman" w:hAnsi="Times New Roman" w:cs="Times New Roman"/>
          <w:b w:val="0"/>
          <w:i w:val="0"/>
          <w:color w:val="000000"/>
          <w:sz w:val="21"/>
          <w:rtl w:val="1"/>
        </w:rPr>
        <w:t>פסק הדין במלואו מצורף לעבודה כנספח (קובץ נפרד).</w:t>
      </w:r>
    </w:p>
    <w:p>
      <w:pPr>
        <w:bidi w:val="1"/>
        <w:spacing w:before="160" w:after="60" w:line="336" w:lineRule="auto"/>
        <w:jc w:val="right"/>
      </w:pPr>
      <w:r>
        <w:rPr>
          <w:rFonts w:ascii="Times New Roman" w:hAnsi="Times New Roman" w:cs="Times New Roman"/>
          <w:b/>
          <w:i w:val="0"/>
          <w:color w:val="000000"/>
          <w:sz w:val="25"/>
          <w:bCs/>
          <w:rtl w:val="1"/>
        </w:rPr>
        <w:t>ד. מקור נוסף</w:t>
      </w:r>
    </w:p>
    <w:p>
      <w:pPr>
        <w:bidi w:val="1"/>
        <w:spacing w:before="0" w:after="60" w:line="336" w:lineRule="auto"/>
        <w:jc w:val="both"/>
      </w:pPr>
      <w:r>
        <w:rPr>
          <w:rFonts w:ascii="Times New Roman" w:hAnsi="Times New Roman" w:cs="Times New Roman"/>
          <w:b w:val="0"/>
          <w:i w:val="0"/>
          <w:color w:val="000000"/>
          <w:sz w:val="24"/>
          <w:rtl w:val="1"/>
        </w:rPr>
        <w:t>California Business and Professions Code § 16600 (מקור ראשוני מדין זר), הקובע כי תניה המגבילה עיסוק חוקי בטלה (void).</w:t>
      </w:r>
    </w:p>
    <w:p>
      <w:pPr>
        <w:bidi w:val="1"/>
        <w:spacing w:before="0" w:after="80" w:line="336" w:lineRule="auto"/>
        <w:jc w:val="both"/>
      </w:pPr>
      <w:r>
        <w:rPr>
          <w:rFonts w:ascii="Times New Roman" w:hAnsi="Times New Roman" w:cs="Times New Roman"/>
          <w:b w:val="0"/>
          <w:i w:val="0"/>
          <w:color w:val="000000"/>
          <w:sz w:val="21"/>
          <w:rtl w:val="1"/>
        </w:rPr>
        <w:t>נוסח הסעיף מצורף לעבודה כנספח. מקור זר ראשוני להשוואה עם הדין הישראלי.</w:t>
      </w:r>
    </w:p>
    <w:p>
      <w:pPr>
        <w:bidi w:val="1"/>
        <w:spacing w:before="160" w:after="60" w:line="336" w:lineRule="auto"/>
        <w:jc w:val="right"/>
      </w:pPr>
      <w:r>
        <w:rPr>
          <w:rFonts w:ascii="Times New Roman" w:hAnsi="Times New Roman" w:cs="Times New Roman"/>
          <w:b/>
          <w:i w:val="0"/>
          <w:color w:val="000000"/>
          <w:sz w:val="25"/>
          <w:bCs/>
          <w:rtl w:val="1"/>
        </w:rPr>
        <w:t>ה. המצב המשפטי הקיים</w:t>
      </w:r>
    </w:p>
    <w:p>
      <w:pPr>
        <w:bidi w:val="1"/>
        <w:spacing w:before="0" w:after="120" w:line="336" w:lineRule="auto"/>
        <w:jc w:val="both"/>
      </w:pPr>
      <w:r>
        <w:rPr>
          <w:rFonts w:ascii="Times New Roman" w:hAnsi="Times New Roman" w:cs="Times New Roman"/>
          <w:b w:val="0"/>
          <w:i w:val="0"/>
          <w:color w:val="000000"/>
          <w:sz w:val="24"/>
          <w:rtl w:val="1"/>
        </w:rPr>
        <w:t>הזכות לחופש העיסוק היא זכות יסוד חוקתית המעוגנת בחוק-יסוד: חופש העיסוק, שלפיו הגבלתה מותרת רק בחוק, לתכלית ראויה ובמידה שאינה עולה על הנדרש.</w:t>
      </w:r>
      <w:r>
        <w:rPr>
          <w:rFonts w:ascii="Times New Roman" w:hAnsi="Times New Roman" w:cs="Times New Roman"/>
          <w:b w:val="0"/>
          <w:i w:val="0"/>
          <w:color w:val="000000"/>
          <w:sz w:val="24"/>
          <w:vertAlign w:val="superscript"/>
          <w:rtl w:val="1"/>
        </w:rPr>
        <w:t>1</w:t>
      </w:r>
      <w:r>
        <w:rPr>
          <w:rFonts w:ascii="Times New Roman" w:hAnsi="Times New Roman" w:cs="Times New Roman"/>
          <w:b w:val="0"/>
          <w:i w:val="0"/>
          <w:color w:val="000000"/>
          <w:sz w:val="24"/>
          <w:rtl w:val="1"/>
        </w:rPr>
        <w:t xml:space="preserve"> מכאן שתניית אי-תחרות בחוזה עבודה אינה נאכפת כלשונה, אלא נבחנת דרך תקנת הציבור שבסעיף 30 לחוק החוזים (חלק כללי), התשל"ג-1973, שמכוחו תניה הסותרת את תקנת הציבור בטלה.</w:t>
      </w:r>
      <w:r>
        <w:rPr>
          <w:rFonts w:ascii="Times New Roman" w:hAnsi="Times New Roman" w:cs="Times New Roman"/>
          <w:b w:val="0"/>
          <w:i w:val="0"/>
          <w:color w:val="000000"/>
          <w:sz w:val="24"/>
          <w:vertAlign w:val="superscript"/>
          <w:rtl w:val="1"/>
        </w:rPr>
        <w:t>2</w:t>
      </w:r>
      <w:r>
        <w:rPr>
          <w:rFonts w:ascii="Times New Roman" w:hAnsi="Times New Roman" w:cs="Times New Roman"/>
          <w:b w:val="0"/>
          <w:i w:val="0"/>
          <w:color w:val="000000"/>
          <w:sz w:val="24"/>
          <w:rtl w:val="1"/>
        </w:rPr>
        <w:t xml:space="preserve"> בעניין AES קבע בית המשפט העליון כי מניעת תחרות כשלעצמה אינה 'אינטרס לגיטימי', וכי בהעדר אינטרס כזה, כגון סוד מסחרי או רשימת לקוחות מוגנת, ההגבלה נוגדת את תקנת הציבור ובטלה. נטל ההוכחה לקיום אינטרס לגיטימי ולסבירות ההגבלה מוטל על המעסיק המבקש לאכוף את התניה.</w:t>
      </w:r>
      <w:r>
        <w:rPr>
          <w:rFonts w:ascii="Times New Roman" w:hAnsi="Times New Roman" w:cs="Times New Roman"/>
          <w:b w:val="0"/>
          <w:i w:val="0"/>
          <w:color w:val="000000"/>
          <w:sz w:val="24"/>
          <w:vertAlign w:val="superscript"/>
          <w:rtl w:val="1"/>
        </w:rPr>
        <w:t>3</w:t>
      </w:r>
      <w:r>
        <w:rPr>
          <w:rFonts w:ascii="Times New Roman" w:hAnsi="Times New Roman" w:cs="Times New Roman"/>
          <w:b w:val="0"/>
          <w:i w:val="0"/>
          <w:color w:val="000000"/>
          <w:sz w:val="24"/>
          <w:rtl w:val="1"/>
        </w:rPr>
        <w:t xml:space="preserve"> השוואה לדין הזר מחדדת את המגמה: בקליפורניה נקבע כלל גורף שלפיו תניה המגבילה עיסוק חוקי בטלה, מתוך העדפה מובהקת של תחרות חופשית וניידות עובדים.</w:t>
      </w:r>
      <w:r>
        <w:rPr>
          <w:rFonts w:ascii="Times New Roman" w:hAnsi="Times New Roman" w:cs="Times New Roman"/>
          <w:b w:val="0"/>
          <w:i w:val="0"/>
          <w:color w:val="000000"/>
          <w:sz w:val="24"/>
          <w:vertAlign w:val="superscript"/>
          <w:rtl w:val="1"/>
        </w:rPr>
        <w:t>3</w:t>
      </w:r>
      <w:r>
        <w:rPr>
          <w:rFonts w:ascii="Times New Roman" w:hAnsi="Times New Roman" w:cs="Times New Roman"/>
          <w:b w:val="0"/>
          <w:i w:val="0"/>
          <w:color w:val="000000"/>
          <w:sz w:val="24"/>
          <w:rtl w:val="1"/>
        </w:rPr>
        <w:t xml:space="preserve"> המגמה בפסיקה הישראלית מצמצמת אף היא את אכיפתן של תניות אי-תחרות גורפות, ומעניקה הגנה בעיקר כאשר מוכח פגם ממשי כמו שימוש בסוד מסחרי.</w:t>
      </w:r>
    </w:p>
    <w:p>
      <w:pPr>
        <w:bidi w:val="1"/>
        <w:spacing w:before="200" w:after="60" w:line="336" w:lineRule="auto"/>
        <w:jc w:val="right"/>
      </w:pPr>
      <w:r>
        <w:rPr>
          <w:rFonts w:ascii="Times New Roman" w:hAnsi="Times New Roman" w:cs="Times New Roman"/>
          <w:b/>
          <w:i w:val="0"/>
          <w:color w:val="000000"/>
          <w:sz w:val="22"/>
          <w:bCs/>
          <w:rtl w:val="1"/>
        </w:rPr>
        <w:t>הערות שוליים</w:t>
      </w:r>
    </w:p>
    <w:p>
      <w:pPr>
        <w:bidi w:val="1"/>
        <w:spacing w:before="0" w:after="40" w:line="288" w:lineRule="auto"/>
        <w:jc w:val="right"/>
      </w:pPr>
      <w:r>
        <w:rPr>
          <w:rFonts w:ascii="Times New Roman" w:hAnsi="Times New Roman" w:cs="Times New Roman"/>
          <w:b w:val="0"/>
          <w:i w:val="0"/>
          <w:color w:val="000000"/>
          <w:sz w:val="20"/>
          <w:rtl w:val="1"/>
        </w:rPr>
        <w:t>1.  חוק-יסוד: חופש העיסוק, ס"ח התשנ"ד 90.</w:t>
      </w:r>
    </w:p>
    <w:p>
      <w:pPr>
        <w:bidi w:val="1"/>
        <w:spacing w:before="0" w:after="40" w:line="288" w:lineRule="auto"/>
        <w:jc w:val="right"/>
      </w:pPr>
      <w:r>
        <w:rPr>
          <w:rFonts w:ascii="Times New Roman" w:hAnsi="Times New Roman" w:cs="Times New Roman"/>
          <w:b w:val="0"/>
          <w:i w:val="0"/>
          <w:color w:val="000000"/>
          <w:sz w:val="20"/>
          <w:rtl w:val="1"/>
        </w:rPr>
        <w:t>2.  חוק החוזים (חלק כללי), התשל"ג-1973, ס"ח 118, ס' 30.</w:t>
      </w:r>
    </w:p>
    <w:p>
      <w:pPr>
        <w:bidi w:val="1"/>
        <w:spacing w:before="0" w:after="40" w:line="288" w:lineRule="auto"/>
        <w:jc w:val="right"/>
      </w:pPr>
      <w:r>
        <w:rPr>
          <w:rFonts w:ascii="Times New Roman" w:hAnsi="Times New Roman" w:cs="Times New Roman"/>
          <w:b w:val="0"/>
          <w:i w:val="0"/>
          <w:color w:val="000000"/>
          <w:sz w:val="20"/>
          <w:rtl w:val="1"/>
        </w:rPr>
        <w:t>3.  ע"א 6601/96 AES Systems Inc. נ' סער, פ"ד נד(3) 850 (2000); California Business and Professions Code § 16600.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