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40" w:line="336" w:lineRule="auto"/>
        <w:jc w:val="center"/>
      </w:pPr>
      <w:r>
        <w:rPr>
          <w:rFonts w:ascii="Times New Roman" w:hAnsi="Times New Roman" w:cs="Times New Roman"/>
          <w:b/>
          <w:i w:val="0"/>
          <w:color w:val="000000"/>
          <w:sz w:val="28"/>
          <w:bCs/>
          <w:rtl w:val="1"/>
        </w:rPr>
        <w:t>עבודת גמר בקורס מחקר משפטי</w:t>
      </w:r>
    </w:p>
    <w:p>
      <w:pPr>
        <w:bidi w:val="1"/>
        <w:spacing w:before="0" w:after="40" w:line="336" w:lineRule="auto"/>
        <w:jc w:val="center"/>
      </w:pPr>
      <w:r>
        <w:rPr>
          <w:rFonts w:ascii="Times New Roman" w:hAnsi="Times New Roman" w:cs="Times New Roman"/>
          <w:b w:val="0"/>
          <w:i w:val="0"/>
          <w:color w:val="000000"/>
          <w:sz w:val="22"/>
          <w:rtl w:val="1"/>
        </w:rPr>
        <w:t>המרצה: ד"ר חנן מנדל</w:t>
      </w:r>
    </w:p>
    <w:p>
      <w:pPr>
        <w:bidi w:val="1"/>
        <w:spacing w:before="0" w:after="200" w:line="336" w:lineRule="auto"/>
        <w:jc w:val="center"/>
      </w:pPr>
      <w:r>
        <w:rPr>
          <w:rFonts w:ascii="Times New Roman" w:hAnsi="Times New Roman" w:cs="Times New Roman"/>
          <w:b w:val="0"/>
          <w:i w:val="0"/>
          <w:color w:val="000000"/>
          <w:sz w:val="22"/>
          <w:rtl w:val="1"/>
        </w:rPr>
        <w:t>שם הסטודנט/ית: ______________     ת.ז.: ______________</w:t>
      </w:r>
    </w:p>
    <w:p>
      <w:pPr>
        <w:bidi w:val="1"/>
        <w:spacing w:before="160" w:after="60" w:line="336" w:lineRule="auto"/>
        <w:jc w:val="right"/>
      </w:pPr>
      <w:r>
        <w:rPr>
          <w:rFonts w:ascii="Times New Roman" w:hAnsi="Times New Roman" w:cs="Times New Roman"/>
          <w:b/>
          <w:i w:val="0"/>
          <w:color w:val="000000"/>
          <w:sz w:val="25"/>
          <w:bCs/>
          <w:rtl w:val="1"/>
        </w:rPr>
        <w:t>א. שאלת המחקר</w:t>
      </w:r>
    </w:p>
    <w:p>
      <w:pPr>
        <w:bidi w:val="1"/>
        <w:spacing w:before="0" w:after="120" w:line="336" w:lineRule="auto"/>
        <w:jc w:val="both"/>
      </w:pPr>
      <w:r>
        <w:rPr>
          <w:rFonts w:ascii="Times New Roman" w:hAnsi="Times New Roman" w:cs="Times New Roman"/>
          <w:b w:val="0"/>
          <w:i w:val="0"/>
          <w:color w:val="000000"/>
          <w:sz w:val="24"/>
          <w:rtl w:val="1"/>
        </w:rPr>
        <w:t>האם, ובאילו סייגים, קמה לצרכן הזכות לבטל עסקת מכר מרחוק לפי סעיף 14ג לחוק הגנת הצרכן, התשמ"א-1981, וכיצד יש לפרש את תקרת 'דמי הביטול' שבסעיף 14ה כאשר הזמנה אחת כוללת מספר פריטים: האם התקרה חלה על העסקה בכללותה או על כל פריט בנפרד?</w:t>
      </w:r>
    </w:p>
    <w:p>
      <w:pPr>
        <w:bidi w:val="1"/>
        <w:spacing w:before="160" w:after="60" w:line="336" w:lineRule="auto"/>
        <w:jc w:val="right"/>
      </w:pPr>
      <w:r>
        <w:rPr>
          <w:rFonts w:ascii="Times New Roman" w:hAnsi="Times New Roman" w:cs="Times New Roman"/>
          <w:b/>
          <w:i w:val="0"/>
          <w:color w:val="000000"/>
          <w:sz w:val="25"/>
          <w:bCs/>
          <w:rtl w:val="1"/>
        </w:rPr>
        <w:t>ב. חקיקה רלוונטית</w:t>
      </w:r>
    </w:p>
    <w:p>
      <w:pPr>
        <w:bidi w:val="1"/>
        <w:spacing w:before="0" w:after="60" w:line="336" w:lineRule="auto"/>
        <w:jc w:val="both"/>
      </w:pPr>
      <w:r>
        <w:rPr>
          <w:rFonts w:ascii="Times New Roman" w:hAnsi="Times New Roman" w:cs="Times New Roman"/>
          <w:b w:val="0"/>
          <w:i w:val="0"/>
          <w:color w:val="000000"/>
          <w:sz w:val="24"/>
          <w:rtl w:val="1"/>
        </w:rPr>
        <w:t>חוק הגנת הצרכן, התשמ"א-1981, ס"ח 248, ס' 14ג (עסקת מכר מרחוק וזכות ביטול) וס' 14ה (תוצאות הביטול ותקרת דמי ביטול).</w:t>
      </w:r>
    </w:p>
    <w:p>
      <w:pPr>
        <w:bidi w:val="1"/>
        <w:spacing w:before="160" w:after="60" w:line="336" w:lineRule="auto"/>
        <w:jc w:val="right"/>
      </w:pPr>
      <w:r>
        <w:rPr>
          <w:rFonts w:ascii="Times New Roman" w:hAnsi="Times New Roman" w:cs="Times New Roman"/>
          <w:b/>
          <w:i w:val="0"/>
          <w:color w:val="000000"/>
          <w:sz w:val="25"/>
          <w:bCs/>
          <w:rtl w:val="1"/>
        </w:rPr>
        <w:t>ג. פסק דין של בית המשפט העליון</w:t>
      </w:r>
    </w:p>
    <w:p>
      <w:pPr>
        <w:bidi w:val="1"/>
        <w:spacing w:before="0" w:after="60" w:line="336" w:lineRule="auto"/>
        <w:jc w:val="both"/>
      </w:pPr>
      <w:r>
        <w:rPr>
          <w:rFonts w:ascii="Times New Roman" w:hAnsi="Times New Roman" w:cs="Times New Roman"/>
          <w:b w:val="0"/>
          <w:i w:val="0"/>
          <w:color w:val="000000"/>
          <w:sz w:val="24"/>
          <w:rtl w:val="1"/>
        </w:rPr>
        <w:t>רע"א 3429/13 רז נ' גוליבר תיירות בע"מ (נבו 13.4.2014). בעסקת מכר מרחוק של מספר כרטיסי טיסה נקבע, לאור תכלית ההגנה הצרכנית, כי דמי הביטול נגבים פעם אחת בגין העסקה כולה ולא בגין כל פריט בנפרד.</w:t>
      </w:r>
    </w:p>
    <w:p>
      <w:pPr>
        <w:bidi w:val="1"/>
        <w:spacing w:before="0" w:after="80" w:line="336" w:lineRule="auto"/>
        <w:jc w:val="both"/>
      </w:pPr>
      <w:r>
        <w:rPr>
          <w:rFonts w:ascii="Times New Roman" w:hAnsi="Times New Roman" w:cs="Times New Roman"/>
          <w:b w:val="0"/>
          <w:i w:val="0"/>
          <w:color w:val="000000"/>
          <w:sz w:val="21"/>
          <w:rtl w:val="1"/>
        </w:rPr>
        <w:t>פסק הדין במלואו מצורף לעבודה כנספח (קובץ נפרד).</w:t>
      </w:r>
    </w:p>
    <w:p>
      <w:pPr>
        <w:bidi w:val="1"/>
        <w:spacing w:before="160" w:after="60" w:line="336" w:lineRule="auto"/>
        <w:jc w:val="right"/>
      </w:pPr>
      <w:r>
        <w:rPr>
          <w:rFonts w:ascii="Times New Roman" w:hAnsi="Times New Roman" w:cs="Times New Roman"/>
          <w:b/>
          <w:i w:val="0"/>
          <w:color w:val="000000"/>
          <w:sz w:val="25"/>
          <w:bCs/>
          <w:rtl w:val="1"/>
        </w:rPr>
        <w:t>ד. מקור נוסף</w:t>
      </w:r>
    </w:p>
    <w:p>
      <w:pPr>
        <w:bidi w:val="1"/>
        <w:spacing w:before="0" w:after="60" w:line="336" w:lineRule="auto"/>
        <w:jc w:val="both"/>
      </w:pPr>
      <w:r>
        <w:rPr>
          <w:rFonts w:ascii="Times New Roman" w:hAnsi="Times New Roman" w:cs="Times New Roman"/>
          <w:b w:val="0"/>
          <w:i w:val="0"/>
          <w:color w:val="000000"/>
          <w:sz w:val="24"/>
          <w:rtl w:val="1"/>
        </w:rPr>
        <w:t>Directive 2011/83/EU of the European Parliament and of the Council of 25 October 2011 on Consumer Rights, 2011 O.J. (L 304) 64, art. 9 (מקור ראשוני מדין זר).</w:t>
      </w:r>
    </w:p>
    <w:p>
      <w:pPr>
        <w:bidi w:val="1"/>
        <w:spacing w:before="0" w:after="80" w:line="336" w:lineRule="auto"/>
        <w:jc w:val="both"/>
      </w:pPr>
      <w:r>
        <w:rPr>
          <w:rFonts w:ascii="Times New Roman" w:hAnsi="Times New Roman" w:cs="Times New Roman"/>
          <w:b w:val="0"/>
          <w:i w:val="0"/>
          <w:color w:val="000000"/>
          <w:sz w:val="21"/>
          <w:rtl w:val="1"/>
        </w:rPr>
        <w:t>הדירקטיבה האירופית מעגנת זכות חרטה בת 14 ימים בעסקאות מרחוק. הנוסח הרלוונטי מצורף כנספח.</w:t>
      </w:r>
    </w:p>
    <w:p>
      <w:pPr>
        <w:bidi w:val="1"/>
        <w:spacing w:before="160" w:after="60" w:line="336" w:lineRule="auto"/>
        <w:jc w:val="right"/>
      </w:pPr>
      <w:r>
        <w:rPr>
          <w:rFonts w:ascii="Times New Roman" w:hAnsi="Times New Roman" w:cs="Times New Roman"/>
          <w:b/>
          <w:i w:val="0"/>
          <w:color w:val="000000"/>
          <w:sz w:val="25"/>
          <w:bCs/>
          <w:rtl w:val="1"/>
        </w:rPr>
        <w:t>ה. המצב המשפטי הקיים</w:t>
      </w:r>
    </w:p>
    <w:p>
      <w:pPr>
        <w:bidi w:val="1"/>
        <w:spacing w:before="0" w:after="120" w:line="336" w:lineRule="auto"/>
        <w:jc w:val="both"/>
      </w:pPr>
      <w:r>
        <w:rPr>
          <w:rFonts w:ascii="Times New Roman" w:hAnsi="Times New Roman" w:cs="Times New Roman"/>
          <w:b w:val="0"/>
          <w:i w:val="0"/>
          <w:color w:val="000000"/>
          <w:sz w:val="24"/>
          <w:rtl w:val="1"/>
        </w:rPr>
        <w:t>עסקת מכר מרחוק זכתה בישראל להסדר צרכני מיטיב, מתוך הכרה בפערי המידע והכוח בין העוסק לצרכן שאינו רואה את הממכר ואינו נוכח פיזית מול העוסק. לפי סעיף 14ג לחוק הגנת הצרכן מוטלת על העוסק חובת גילוי מוקדמת, ולצרכן מוקנית זכות לבטל את העסקה בתוך 14 ימים מקבלת הנכס או מסמך הגילוי, בכפוף לסייגים שבסעיף 14ג(ד).</w:t>
      </w:r>
      <w:r>
        <w:rPr>
          <w:rFonts w:ascii="Times New Roman" w:hAnsi="Times New Roman" w:cs="Times New Roman"/>
          <w:b w:val="0"/>
          <w:i w:val="0"/>
          <w:color w:val="000000"/>
          <w:sz w:val="24"/>
          <w:vertAlign w:val="superscript"/>
          <w:rtl w:val="1"/>
        </w:rPr>
        <w:t>1</w:t>
      </w:r>
      <w:r>
        <w:rPr>
          <w:rFonts w:ascii="Times New Roman" w:hAnsi="Times New Roman" w:cs="Times New Roman"/>
          <w:b w:val="0"/>
          <w:i w:val="0"/>
          <w:color w:val="000000"/>
          <w:sz w:val="24"/>
          <w:rtl w:val="1"/>
        </w:rPr>
        <w:t xml:space="preserve"> עם הביטול חלות תוצאות שבסעיף 14ה, ובהן החזרת התמורה ותקרת דמי ביטול נמוכה של 5% ממחיר העסקה או 100 ש"ח, לפי הנמוך, ובביטול עקב פגם לא ייגבו דמי ביטול כלל.</w:t>
      </w:r>
      <w:r>
        <w:rPr>
          <w:rFonts w:ascii="Times New Roman" w:hAnsi="Times New Roman" w:cs="Times New Roman"/>
          <w:b w:val="0"/>
          <w:i w:val="0"/>
          <w:color w:val="000000"/>
          <w:sz w:val="24"/>
          <w:vertAlign w:val="superscript"/>
          <w:rtl w:val="1"/>
        </w:rPr>
        <w:t>1</w:t>
      </w:r>
      <w:r>
        <w:rPr>
          <w:rFonts w:ascii="Times New Roman" w:hAnsi="Times New Roman" w:cs="Times New Roman"/>
          <w:b w:val="0"/>
          <w:i w:val="0"/>
          <w:color w:val="000000"/>
          <w:sz w:val="24"/>
          <w:rtl w:val="1"/>
        </w:rPr>
        <w:t xml:space="preserve"> בעניין רז נ' גוליבר פירש בית המשפט העליון הסדר זה באופן תכליתי המיטיב עם הצרכן, וקבע כי כאשר הזמנה אחת כוללת מספר פריטים נגבים דמי הביטול פעם אחת בגין העסקה ולא בגין כל פריט.</w:t>
      </w:r>
      <w:r>
        <w:rPr>
          <w:rFonts w:ascii="Times New Roman" w:hAnsi="Times New Roman" w:cs="Times New Roman"/>
          <w:b w:val="0"/>
          <w:i w:val="0"/>
          <w:color w:val="000000"/>
          <w:sz w:val="24"/>
          <w:vertAlign w:val="superscript"/>
          <w:rtl w:val="1"/>
        </w:rPr>
        <w:t>2</w:t>
      </w:r>
      <w:r>
        <w:rPr>
          <w:rFonts w:ascii="Times New Roman" w:hAnsi="Times New Roman" w:cs="Times New Roman"/>
          <w:b w:val="0"/>
          <w:i w:val="0"/>
          <w:color w:val="000000"/>
          <w:sz w:val="24"/>
          <w:rtl w:val="1"/>
        </w:rPr>
        <w:t xml:space="preserve"> גישה זו משתלבת עם המשפט המשווה: הדירקטיבה האירופית 2011/83/EU מעגנת אף היא זכות חרטה בת 14 ימים בעסקאות מרחוק, ללא חובת הנמקה, כרף הגנה צרכני אחיד.</w:t>
      </w:r>
      <w:r>
        <w:rPr>
          <w:rFonts w:ascii="Times New Roman" w:hAnsi="Times New Roman" w:cs="Times New Roman"/>
          <w:b w:val="0"/>
          <w:i w:val="0"/>
          <w:color w:val="000000"/>
          <w:sz w:val="24"/>
          <w:vertAlign w:val="superscript"/>
          <w:rtl w:val="1"/>
        </w:rPr>
        <w:t>3</w:t>
      </w:r>
      <w:r>
        <w:rPr>
          <w:rFonts w:ascii="Times New Roman" w:hAnsi="Times New Roman" w:cs="Times New Roman"/>
          <w:b w:val="0"/>
          <w:i w:val="0"/>
          <w:color w:val="000000"/>
          <w:sz w:val="24"/>
          <w:rtl w:val="1"/>
        </w:rPr>
        <w:t xml:space="preserve"> המשמעות המעשית היא שתניות בהסכם מקוון השוללות או מצמצמות את זכות הביטול, או מגדילות את דמי הביטול מעבר לתקרה, אינן תקפות. מכאן שזכות הביטול קמה כברירת מחדל, כפופה לסייגים מוגדרים בלבד, ותקרת דמי הביטול מתפרשת ברמת העסקה כולה.</w:t>
      </w:r>
    </w:p>
    <w:p>
      <w:pPr>
        <w:bidi w:val="1"/>
        <w:spacing w:before="200" w:after="60" w:line="336" w:lineRule="auto"/>
        <w:jc w:val="right"/>
      </w:pPr>
      <w:r>
        <w:rPr>
          <w:rFonts w:ascii="Times New Roman" w:hAnsi="Times New Roman" w:cs="Times New Roman"/>
          <w:b/>
          <w:i w:val="0"/>
          <w:color w:val="000000"/>
          <w:sz w:val="22"/>
          <w:bCs/>
          <w:rtl w:val="1"/>
        </w:rPr>
        <w:t>הערות שוליים</w:t>
      </w:r>
    </w:p>
    <w:p>
      <w:pPr>
        <w:bidi w:val="1"/>
        <w:spacing w:before="0" w:after="40" w:line="288" w:lineRule="auto"/>
        <w:jc w:val="right"/>
      </w:pPr>
      <w:r>
        <w:rPr>
          <w:rFonts w:ascii="Times New Roman" w:hAnsi="Times New Roman" w:cs="Times New Roman"/>
          <w:b w:val="0"/>
          <w:i w:val="0"/>
          <w:color w:val="000000"/>
          <w:sz w:val="20"/>
          <w:rtl w:val="1"/>
        </w:rPr>
        <w:t>1.  חוק הגנת הצרכן, התשמ"א-1981, ס"ח 248, ס' 14ג, 14ה.</w:t>
      </w:r>
    </w:p>
    <w:p>
      <w:pPr>
        <w:bidi w:val="1"/>
        <w:spacing w:before="0" w:after="40" w:line="288" w:lineRule="auto"/>
        <w:jc w:val="right"/>
      </w:pPr>
      <w:r>
        <w:rPr>
          <w:rFonts w:ascii="Times New Roman" w:hAnsi="Times New Roman" w:cs="Times New Roman"/>
          <w:b w:val="0"/>
          <w:i w:val="0"/>
          <w:color w:val="000000"/>
          <w:sz w:val="20"/>
          <w:rtl w:val="1"/>
        </w:rPr>
        <w:t>2.  רע"א 3429/13 רז נ' גוליבר תיירות בע"מ (נבו 13.4.2014).</w:t>
      </w:r>
    </w:p>
    <w:p>
      <w:pPr>
        <w:bidi w:val="1"/>
        <w:spacing w:before="0" w:after="40" w:line="288" w:lineRule="auto"/>
        <w:jc w:val="right"/>
      </w:pPr>
      <w:r>
        <w:rPr>
          <w:rFonts w:ascii="Times New Roman" w:hAnsi="Times New Roman" w:cs="Times New Roman"/>
          <w:b w:val="0"/>
          <w:i w:val="0"/>
          <w:color w:val="000000"/>
          <w:sz w:val="20"/>
          <w:rtl w:val="1"/>
        </w:rPr>
        <w:t>3.  Directive 2011/83/EU of the European Parliament and of the Council of 25 October 2011 on Consumer Rights, 2011 O.J. (L 304) 64, art. 9.</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