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60" w:line="336" w:lineRule="auto"/>
        <w:jc w:val="center"/>
      </w:pPr>
      <w:r>
        <w:rPr>
          <w:rFonts w:ascii="Times New Roman" w:hAnsi="Times New Roman" w:cs="Times New Roman"/>
          <w:b/>
          <w:i w:val="0"/>
          <w:color w:val="000000"/>
          <w:sz w:val="28"/>
          <w:bCs/>
          <w:rtl w:val="1"/>
        </w:rPr>
        <w:t>קישורים לנספחים, לפי גרסה</w:t>
      </w:r>
    </w:p>
    <w:p>
      <w:pPr>
        <w:bidi w:val="1"/>
        <w:spacing w:before="0" w:after="160" w:line="336" w:lineRule="auto"/>
        <w:jc w:val="both"/>
      </w:pPr>
      <w:r>
        <w:rPr>
          <w:rFonts w:ascii="Times New Roman" w:hAnsi="Times New Roman" w:cs="Times New Roman"/>
          <w:b w:val="0"/>
          <w:i w:val="0"/>
          <w:color w:val="000000"/>
          <w:sz w:val="21"/>
          <w:rtl w:val="1"/>
        </w:rPr>
        <w:t>לפני הגשה: פתחו כל קישור בדפדפן ואמתו אותו. הקישורים אותרו דרך חיפוש (WebSearch) ולא נפתחו אוטומטית בסביבת העבודה. אם קישור הורדה של פסק דין אינו נפתח, חפשו את מספר ההליך ישירות באתר supremedecisions.court.gov.il או במאגר נבו.</w:t>
      </w:r>
    </w:p>
    <w:p>
      <w:pPr>
        <w:bidi w:val="1"/>
        <w:spacing w:before="160" w:after="60" w:line="336" w:lineRule="auto"/>
        <w:jc w:val="right"/>
      </w:pPr>
      <w:r>
        <w:rPr>
          <w:rFonts w:ascii="Times New Roman" w:hAnsi="Times New Roman" w:cs="Times New Roman"/>
          <w:b/>
          <w:i w:val="0"/>
          <w:color w:val="000000"/>
          <w:sz w:val="24"/>
          <w:bCs/>
          <w:rtl w:val="1"/>
        </w:rPr>
        <w:t>גרסה 1, לשון הרע ברשתות</w:t>
      </w:r>
    </w:p>
    <w:p>
      <w:pPr>
        <w:bidi w:val="1"/>
        <w:spacing w:before="0" w:after="0" w:line="276" w:lineRule="auto"/>
        <w:jc w:val="right"/>
      </w:pPr>
      <w:r>
        <w:rPr>
          <w:rFonts w:ascii="Times New Roman" w:hAnsi="Times New Roman" w:cs="Times New Roman"/>
          <w:b w:val="0"/>
          <w:i w:val="0"/>
          <w:color w:val="000000"/>
          <w:sz w:val="21"/>
          <w:rtl w:val="1"/>
        </w:rPr>
        <w:t>חוק איסור לשון הרע (נבו):</w:t>
      </w:r>
    </w:p>
    <w:p>
      <w:pPr>
        <w:spacing w:after="80" w:line="276" w:lineRule="auto"/>
        <w:jc w:val="left"/>
      </w:pPr>
      <w:r>
        <w:rPr>
          <w:rFonts w:ascii="Times New Roman" w:hAnsi="Times New Roman" w:cs="Times New Roman"/>
          <w:b w:val="0"/>
          <w:i w:val="0"/>
          <w:color w:val="000000"/>
          <w:sz w:val="20"/>
          <w:rtl w:val="1"/>
        </w:rPr>
        <w:t>https://www.nevo.co.il/law_html/law00/74372.htm</w:t>
      </w:r>
    </w:p>
    <w:p>
      <w:pPr>
        <w:bidi w:val="1"/>
        <w:spacing w:before="0" w:after="0" w:line="276" w:lineRule="auto"/>
        <w:jc w:val="right"/>
      </w:pPr>
      <w:r>
        <w:rPr>
          <w:rFonts w:ascii="Times New Roman" w:hAnsi="Times New Roman" w:cs="Times New Roman"/>
          <w:b w:val="0"/>
          <w:i w:val="0"/>
          <w:color w:val="000000"/>
          <w:sz w:val="21"/>
          <w:rtl w:val="1"/>
        </w:rPr>
        <w:t>חוק איסור לשון הרע (כנסת):</w:t>
      </w:r>
    </w:p>
    <w:p>
      <w:pPr>
        <w:spacing w:after="80" w:line="276" w:lineRule="auto"/>
        <w:jc w:val="left"/>
      </w:pPr>
      <w:r>
        <w:rPr>
          <w:rFonts w:ascii="Times New Roman" w:hAnsi="Times New Roman" w:cs="Times New Roman"/>
          <w:b w:val="0"/>
          <w:i w:val="0"/>
          <w:color w:val="000000"/>
          <w:sz w:val="20"/>
          <w:rtl w:val="1"/>
        </w:rPr>
        <w:t>https://main.knesset.gov.il/Activity/Legislation/Laws/Pages/LawPrimary.aspx?lawitemid=2000089</w:t>
      </w:r>
    </w:p>
    <w:p>
      <w:pPr>
        <w:bidi w:val="1"/>
        <w:spacing w:before="0" w:after="0" w:line="276" w:lineRule="auto"/>
        <w:jc w:val="right"/>
      </w:pPr>
      <w:r>
        <w:rPr>
          <w:rFonts w:ascii="Times New Roman" w:hAnsi="Times New Roman" w:cs="Times New Roman"/>
          <w:b w:val="0"/>
          <w:i w:val="0"/>
          <w:color w:val="000000"/>
          <w:sz w:val="21"/>
          <w:rtl w:val="1"/>
        </w:rPr>
        <w:t>פסק הדין רע"א 1239/19, טקסט מלא (בית המשפט העליון):</w:t>
      </w:r>
    </w:p>
    <w:p>
      <w:pPr>
        <w:spacing w:after="80" w:line="276" w:lineRule="auto"/>
        <w:jc w:val="left"/>
      </w:pPr>
      <w:r>
        <w:rPr>
          <w:rFonts w:ascii="Times New Roman" w:hAnsi="Times New Roman" w:cs="Times New Roman"/>
          <w:b w:val="0"/>
          <w:i w:val="0"/>
          <w:color w:val="000000"/>
          <w:sz w:val="20"/>
          <w:rtl w:val="1"/>
        </w:rPr>
        <w:t>https://supremedecisions.court.gov.il/Home/Download?path=HebrewVerdicts\19\390\012\a09&amp;fileName=19012390.A09&amp;type=2</w:t>
      </w:r>
    </w:p>
    <w:p>
      <w:pPr>
        <w:bidi w:val="1"/>
        <w:spacing w:before="0" w:after="0" w:line="276" w:lineRule="auto"/>
        <w:jc w:val="right"/>
      </w:pPr>
      <w:r>
        <w:rPr>
          <w:rFonts w:ascii="Times New Roman" w:hAnsi="Times New Roman" w:cs="Times New Roman"/>
          <w:b w:val="0"/>
          <w:i w:val="0"/>
          <w:color w:val="000000"/>
          <w:sz w:val="21"/>
          <w:rtl w:val="1"/>
        </w:rPr>
        <w:t>מאמר מיכל לביא (כתב העת משפטים על אתר, PDF):</w:t>
      </w:r>
    </w:p>
    <w:p>
      <w:pPr>
        <w:spacing w:after="80" w:line="276" w:lineRule="auto"/>
        <w:jc w:val="left"/>
      </w:pPr>
      <w:r>
        <w:rPr>
          <w:rFonts w:ascii="Times New Roman" w:hAnsi="Times New Roman" w:cs="Times New Roman"/>
          <w:b w:val="0"/>
          <w:i w:val="0"/>
          <w:color w:val="000000"/>
          <w:sz w:val="20"/>
          <w:rtl w:val="1"/>
        </w:rPr>
        <w:t>https://lawjournal.huji.ac.il/sites/default/files/2021-03/mishpatimonline-15-159.pdf</w:t>
      </w:r>
    </w:p>
    <w:p>
      <w:pPr>
        <w:bidi w:val="1"/>
        <w:spacing w:before="160" w:after="60" w:line="336" w:lineRule="auto"/>
        <w:jc w:val="right"/>
      </w:pPr>
      <w:r>
        <w:rPr>
          <w:rFonts w:ascii="Times New Roman" w:hAnsi="Times New Roman" w:cs="Times New Roman"/>
          <w:b/>
          <w:i w:val="0"/>
          <w:color w:val="000000"/>
          <w:sz w:val="24"/>
          <w:bCs/>
          <w:rtl w:val="1"/>
        </w:rPr>
        <w:t>גרסה 2, פרטיות מול אינטרס ציבורי</w:t>
      </w:r>
    </w:p>
    <w:p>
      <w:pPr>
        <w:bidi w:val="1"/>
        <w:spacing w:before="0" w:after="0" w:line="276" w:lineRule="auto"/>
        <w:jc w:val="right"/>
      </w:pPr>
      <w:r>
        <w:rPr>
          <w:rFonts w:ascii="Times New Roman" w:hAnsi="Times New Roman" w:cs="Times New Roman"/>
          <w:b w:val="0"/>
          <w:i w:val="0"/>
          <w:color w:val="000000"/>
          <w:sz w:val="21"/>
          <w:rtl w:val="1"/>
        </w:rPr>
        <w:t>חוק הגנת הפרטיות (נבו):</w:t>
      </w:r>
    </w:p>
    <w:p>
      <w:pPr>
        <w:spacing w:after="80" w:line="276" w:lineRule="auto"/>
        <w:jc w:val="left"/>
      </w:pPr>
      <w:r>
        <w:rPr>
          <w:rFonts w:ascii="Times New Roman" w:hAnsi="Times New Roman" w:cs="Times New Roman"/>
          <w:b w:val="0"/>
          <w:i w:val="0"/>
          <w:color w:val="000000"/>
          <w:sz w:val="20"/>
          <w:rtl w:val="1"/>
        </w:rPr>
        <w:t>https://www.nevo.co.il/law_html/law00/71631.htm</w:t>
      </w:r>
    </w:p>
    <w:p>
      <w:pPr>
        <w:bidi w:val="1"/>
        <w:spacing w:before="0" w:after="0" w:line="276" w:lineRule="auto"/>
        <w:jc w:val="right"/>
      </w:pPr>
      <w:r>
        <w:rPr>
          <w:rFonts w:ascii="Times New Roman" w:hAnsi="Times New Roman" w:cs="Times New Roman"/>
          <w:b w:val="0"/>
          <w:i w:val="0"/>
          <w:color w:val="000000"/>
          <w:sz w:val="21"/>
          <w:rtl w:val="1"/>
        </w:rPr>
        <w:t>חוק-יסוד: כבוד האדם וחירותו (כנסת):</w:t>
      </w:r>
    </w:p>
    <w:p>
      <w:pPr>
        <w:spacing w:after="80" w:line="276" w:lineRule="auto"/>
        <w:jc w:val="left"/>
      </w:pPr>
      <w:r>
        <w:rPr>
          <w:rFonts w:ascii="Times New Roman" w:hAnsi="Times New Roman" w:cs="Times New Roman"/>
          <w:b w:val="0"/>
          <w:i w:val="0"/>
          <w:color w:val="000000"/>
          <w:sz w:val="20"/>
          <w:rtl w:val="1"/>
        </w:rPr>
        <w:t>https://main.knesset.gov.il/Activity/Legislation/Laws/pages/lawbill.aspx?t=lawreshumot&amp;lawitemid=147337</w:t>
      </w:r>
    </w:p>
    <w:p>
      <w:pPr>
        <w:bidi w:val="1"/>
        <w:spacing w:before="0" w:after="0" w:line="276" w:lineRule="auto"/>
        <w:jc w:val="right"/>
      </w:pPr>
      <w:r>
        <w:rPr>
          <w:rFonts w:ascii="Times New Roman" w:hAnsi="Times New Roman" w:cs="Times New Roman"/>
          <w:b w:val="0"/>
          <w:i w:val="0"/>
          <w:color w:val="000000"/>
          <w:sz w:val="21"/>
          <w:rtl w:val="1"/>
        </w:rPr>
        <w:t>פסק הדין בג"ץ 3809/08, טקסט מלא (בית המשפט העליון):</w:t>
      </w:r>
    </w:p>
    <w:p>
      <w:pPr>
        <w:spacing w:after="80" w:line="276" w:lineRule="auto"/>
        <w:jc w:val="left"/>
      </w:pPr>
      <w:r>
        <w:rPr>
          <w:rFonts w:ascii="Times New Roman" w:hAnsi="Times New Roman" w:cs="Times New Roman"/>
          <w:b w:val="0"/>
          <w:i w:val="0"/>
          <w:color w:val="000000"/>
          <w:sz w:val="20"/>
          <w:rtl w:val="1"/>
        </w:rPr>
        <w:t>https://supremedecisions.court.gov.il/Home/Download?path=HebrewVerdicts\08\090\038\n15&amp;fileName=08038090_n15.txt&amp;type=2</w:t>
      </w:r>
    </w:p>
    <w:p>
      <w:pPr>
        <w:bidi w:val="1"/>
        <w:spacing w:before="0" w:after="0" w:line="276" w:lineRule="auto"/>
        <w:jc w:val="right"/>
      </w:pPr>
      <w:r>
        <w:rPr>
          <w:rFonts w:ascii="Times New Roman" w:hAnsi="Times New Roman" w:cs="Times New Roman"/>
          <w:b w:val="0"/>
          <w:i w:val="0"/>
          <w:color w:val="000000"/>
          <w:sz w:val="21"/>
          <w:rtl w:val="1"/>
        </w:rPr>
        <w:t>מאמר מיכאל בירנהק (PDF, פקולטה למשפטים חיפה):</w:t>
      </w:r>
    </w:p>
    <w:p>
      <w:pPr>
        <w:spacing w:after="80" w:line="276" w:lineRule="auto"/>
        <w:jc w:val="left"/>
      </w:pPr>
      <w:r>
        <w:rPr>
          <w:rFonts w:ascii="Times New Roman" w:hAnsi="Times New Roman" w:cs="Times New Roman"/>
          <w:b w:val="0"/>
          <w:i w:val="0"/>
          <w:color w:val="000000"/>
          <w:sz w:val="20"/>
          <w:rtl w:val="1"/>
        </w:rPr>
        <w:t>https://law.haifa.ac.il/wp-content/uploads/2021/11/KD5.pdf</w:t>
      </w:r>
    </w:p>
    <w:p>
      <w:pPr>
        <w:bidi w:val="1"/>
        <w:spacing w:before="160" w:after="60" w:line="336" w:lineRule="auto"/>
        <w:jc w:val="right"/>
      </w:pPr>
      <w:r>
        <w:rPr>
          <w:rFonts w:ascii="Times New Roman" w:hAnsi="Times New Roman" w:cs="Times New Roman"/>
          <w:b/>
          <w:i w:val="0"/>
          <w:color w:val="000000"/>
          <w:sz w:val="24"/>
          <w:bCs/>
          <w:rtl w:val="1"/>
        </w:rPr>
        <w:t>גרסה 3, חופש העיסוק ואי-תחרות</w:t>
      </w:r>
    </w:p>
    <w:p>
      <w:pPr>
        <w:bidi w:val="1"/>
        <w:spacing w:before="0" w:after="0" w:line="276" w:lineRule="auto"/>
        <w:jc w:val="right"/>
      </w:pPr>
      <w:r>
        <w:rPr>
          <w:rFonts w:ascii="Times New Roman" w:hAnsi="Times New Roman" w:cs="Times New Roman"/>
          <w:b w:val="0"/>
          <w:i w:val="0"/>
          <w:color w:val="000000"/>
          <w:sz w:val="21"/>
          <w:rtl w:val="1"/>
        </w:rPr>
        <w:t>חוק-יסוד: חופש העיסוק (נבו):</w:t>
      </w:r>
    </w:p>
    <w:p>
      <w:pPr>
        <w:spacing w:after="80" w:line="276" w:lineRule="auto"/>
        <w:jc w:val="left"/>
      </w:pPr>
      <w:r>
        <w:rPr>
          <w:rFonts w:ascii="Times New Roman" w:hAnsi="Times New Roman" w:cs="Times New Roman"/>
          <w:b w:val="0"/>
          <w:i w:val="0"/>
          <w:color w:val="000000"/>
          <w:sz w:val="20"/>
          <w:rtl w:val="1"/>
        </w:rPr>
        <w:t>https://www.nevo.co.il/law_html/law00/71905.htm</w:t>
      </w:r>
    </w:p>
    <w:p>
      <w:pPr>
        <w:bidi w:val="1"/>
        <w:spacing w:before="0" w:after="0" w:line="276" w:lineRule="auto"/>
        <w:jc w:val="right"/>
      </w:pPr>
      <w:r>
        <w:rPr>
          <w:rFonts w:ascii="Times New Roman" w:hAnsi="Times New Roman" w:cs="Times New Roman"/>
          <w:b w:val="0"/>
          <w:i w:val="0"/>
          <w:color w:val="000000"/>
          <w:sz w:val="21"/>
          <w:rtl w:val="1"/>
        </w:rPr>
        <w:t>חוק החוזים (חלק כללי) (נבו):</w:t>
      </w:r>
    </w:p>
    <w:p>
      <w:pPr>
        <w:spacing w:after="80" w:line="276" w:lineRule="auto"/>
        <w:jc w:val="left"/>
      </w:pPr>
      <w:r>
        <w:rPr>
          <w:rFonts w:ascii="Times New Roman" w:hAnsi="Times New Roman" w:cs="Times New Roman"/>
          <w:b w:val="0"/>
          <w:i w:val="0"/>
          <w:color w:val="000000"/>
          <w:sz w:val="20"/>
          <w:rtl w:val="1"/>
        </w:rPr>
        <w:t>https://www.nevo.co.il/law_html/law00/71888.htm</w:t>
      </w:r>
    </w:p>
    <w:p>
      <w:pPr>
        <w:bidi w:val="1"/>
        <w:spacing w:before="0" w:after="0" w:line="276" w:lineRule="auto"/>
        <w:jc w:val="right"/>
      </w:pPr>
      <w:r>
        <w:rPr>
          <w:rFonts w:ascii="Times New Roman" w:hAnsi="Times New Roman" w:cs="Times New Roman"/>
          <w:b w:val="0"/>
          <w:i w:val="0"/>
          <w:color w:val="000000"/>
          <w:sz w:val="21"/>
          <w:rtl w:val="1"/>
        </w:rPr>
        <w:t>פסק הדין ע"א 6601/96 AES נ' סער (נבו):</w:t>
      </w:r>
    </w:p>
    <w:p>
      <w:pPr>
        <w:spacing w:after="80" w:line="276" w:lineRule="auto"/>
        <w:jc w:val="left"/>
      </w:pPr>
      <w:r>
        <w:rPr>
          <w:rFonts w:ascii="Times New Roman" w:hAnsi="Times New Roman" w:cs="Times New Roman"/>
          <w:b w:val="0"/>
          <w:i w:val="0"/>
          <w:color w:val="000000"/>
          <w:sz w:val="20"/>
          <w:rtl w:val="1"/>
        </w:rPr>
        <w:t>https://www.nevo.co.il/psika_html/elyon/PADI-NG-3-850-L.htm</w:t>
      </w:r>
    </w:p>
    <w:p>
      <w:pPr>
        <w:bidi w:val="1"/>
        <w:spacing w:before="0" w:after="0" w:line="276" w:lineRule="auto"/>
        <w:jc w:val="right"/>
      </w:pPr>
      <w:r>
        <w:rPr>
          <w:rFonts w:ascii="Times New Roman" w:hAnsi="Times New Roman" w:cs="Times New Roman"/>
          <w:b w:val="0"/>
          <w:i w:val="0"/>
          <w:color w:val="000000"/>
          <w:sz w:val="21"/>
          <w:rtl w:val="1"/>
        </w:rPr>
        <w:t>חיפוש טקסט מלא לפי מספר הליך (בית המשפט העליון):</w:t>
      </w:r>
    </w:p>
    <w:p>
      <w:pPr>
        <w:spacing w:after="80" w:line="276" w:lineRule="auto"/>
        <w:jc w:val="left"/>
      </w:pPr>
      <w:r>
        <w:rPr>
          <w:rFonts w:ascii="Times New Roman" w:hAnsi="Times New Roman" w:cs="Times New Roman"/>
          <w:b w:val="0"/>
          <w:i w:val="0"/>
          <w:color w:val="000000"/>
          <w:sz w:val="20"/>
          <w:rtl w:val="1"/>
        </w:rPr>
        <w:t>https://supremedecisions.court.gov.il/</w:t>
      </w:r>
    </w:p>
    <w:p>
      <w:pPr>
        <w:bidi w:val="1"/>
        <w:spacing w:before="0" w:after="0" w:line="276" w:lineRule="auto"/>
        <w:jc w:val="right"/>
      </w:pPr>
      <w:r>
        <w:rPr>
          <w:rFonts w:ascii="Times New Roman" w:hAnsi="Times New Roman" w:cs="Times New Roman"/>
          <w:b w:val="0"/>
          <w:i w:val="0"/>
          <w:color w:val="000000"/>
          <w:sz w:val="21"/>
          <w:rtl w:val="1"/>
        </w:rPr>
        <w:t>California Business and Professions Code § 16600:</w:t>
      </w:r>
    </w:p>
    <w:p>
      <w:pPr>
        <w:spacing w:after="80" w:line="276" w:lineRule="auto"/>
        <w:jc w:val="left"/>
      </w:pPr>
      <w:r>
        <w:rPr>
          <w:rFonts w:ascii="Times New Roman" w:hAnsi="Times New Roman" w:cs="Times New Roman"/>
          <w:b w:val="0"/>
          <w:i w:val="0"/>
          <w:color w:val="000000"/>
          <w:sz w:val="20"/>
          <w:rtl w:val="1"/>
        </w:rPr>
        <w:t>https://leginfo.legislature.ca.gov/faces/codes_displaySection.xhtml?sectionNum=16600&amp;lawCode=BPC</w:t>
      </w:r>
    </w:p>
    <w:p>
      <w:pPr>
        <w:bidi w:val="1"/>
        <w:spacing w:before="160" w:after="60" w:line="336" w:lineRule="auto"/>
        <w:jc w:val="right"/>
      </w:pPr>
      <w:r>
        <w:rPr>
          <w:rFonts w:ascii="Times New Roman" w:hAnsi="Times New Roman" w:cs="Times New Roman"/>
          <w:b/>
          <w:i w:val="0"/>
          <w:color w:val="000000"/>
          <w:sz w:val="24"/>
          <w:bCs/>
          <w:rtl w:val="1"/>
        </w:rPr>
        <w:t>גרסה 4, הגנת הצרכן במכר מרחוק</w:t>
      </w:r>
    </w:p>
    <w:p>
      <w:pPr>
        <w:bidi w:val="1"/>
        <w:spacing w:before="0" w:after="0" w:line="276" w:lineRule="auto"/>
        <w:jc w:val="right"/>
      </w:pPr>
      <w:r>
        <w:rPr>
          <w:rFonts w:ascii="Times New Roman" w:hAnsi="Times New Roman" w:cs="Times New Roman"/>
          <w:b w:val="0"/>
          <w:i w:val="0"/>
          <w:color w:val="000000"/>
          <w:sz w:val="21"/>
          <w:rtl w:val="1"/>
        </w:rPr>
        <w:t>חוק הגנת הצרכן (נבו):</w:t>
      </w:r>
    </w:p>
    <w:p>
      <w:pPr>
        <w:spacing w:after="80" w:line="276" w:lineRule="auto"/>
        <w:jc w:val="left"/>
      </w:pPr>
      <w:r>
        <w:rPr>
          <w:rFonts w:ascii="Times New Roman" w:hAnsi="Times New Roman" w:cs="Times New Roman"/>
          <w:b w:val="0"/>
          <w:i w:val="0"/>
          <w:color w:val="000000"/>
          <w:sz w:val="20"/>
          <w:rtl w:val="1"/>
        </w:rPr>
        <w:t>https://www.nevo.co.il/law_html/law00/70305.htm</w:t>
      </w:r>
    </w:p>
    <w:p>
      <w:pPr>
        <w:bidi w:val="1"/>
        <w:spacing w:before="0" w:after="0" w:line="276" w:lineRule="auto"/>
        <w:jc w:val="right"/>
      </w:pPr>
      <w:r>
        <w:rPr>
          <w:rFonts w:ascii="Times New Roman" w:hAnsi="Times New Roman" w:cs="Times New Roman"/>
          <w:b w:val="0"/>
          <w:i w:val="0"/>
          <w:color w:val="000000"/>
          <w:sz w:val="21"/>
          <w:rtl w:val="1"/>
        </w:rPr>
        <w:t>פסק הדין רע"א 3429/13 רז נ' גוליבר, טקסט מלא (בית המשפט העליון):</w:t>
      </w:r>
    </w:p>
    <w:p>
      <w:pPr>
        <w:spacing w:after="80" w:line="276" w:lineRule="auto"/>
        <w:jc w:val="left"/>
      </w:pPr>
      <w:r>
        <w:rPr>
          <w:rFonts w:ascii="Times New Roman" w:hAnsi="Times New Roman" w:cs="Times New Roman"/>
          <w:b w:val="0"/>
          <w:i w:val="0"/>
          <w:color w:val="000000"/>
          <w:sz w:val="20"/>
          <w:rtl w:val="1"/>
        </w:rPr>
        <w:t>https://supremedecisions.court.gov.il/Home/Download?path=HebrewVerdicts%2F13%2F290%2F034%2Fb02&amp;fileName=13034290_b02.txt&amp;type=2</w:t>
      </w:r>
    </w:p>
    <w:p>
      <w:pPr>
        <w:bidi w:val="1"/>
        <w:spacing w:before="0" w:after="0" w:line="276" w:lineRule="auto"/>
        <w:jc w:val="right"/>
      </w:pPr>
      <w:r>
        <w:rPr>
          <w:rFonts w:ascii="Times New Roman" w:hAnsi="Times New Roman" w:cs="Times New Roman"/>
          <w:b w:val="0"/>
          <w:i w:val="0"/>
          <w:color w:val="000000"/>
          <w:sz w:val="21"/>
          <w:rtl w:val="1"/>
        </w:rPr>
        <w:t>Directive 2011/83/EU (EUR-Lex):</w:t>
      </w:r>
    </w:p>
    <w:p>
      <w:pPr>
        <w:spacing w:after="80" w:line="276" w:lineRule="auto"/>
        <w:jc w:val="left"/>
      </w:pPr>
      <w:r>
        <w:rPr>
          <w:rFonts w:ascii="Times New Roman" w:hAnsi="Times New Roman" w:cs="Times New Roman"/>
          <w:b w:val="0"/>
          <w:i w:val="0"/>
          <w:color w:val="000000"/>
          <w:sz w:val="20"/>
          <w:rtl w:val="1"/>
        </w:rPr>
        <w:t>https://eur-lex.europa.eu/eli/dir/2011/83/oj</w:t>
      </w:r>
    </w:p>
    <w:p>
      <w:pPr>
        <w:bidi w:val="1"/>
        <w:spacing w:before="200" w:after="40" w:line="336" w:lineRule="auto"/>
        <w:jc w:val="both"/>
      </w:pPr>
      <w:r>
        <w:rPr>
          <w:rFonts w:ascii="Times New Roman" w:hAnsi="Times New Roman" w:cs="Times New Roman"/>
          <w:b w:val="0"/>
          <w:i w:val="0"/>
          <w:color w:val="000000"/>
          <w:sz w:val="20"/>
          <w:rtl w:val="1"/>
        </w:rPr>
        <w:t>נקודות לאימות ידני לפני הגשה: (א) מספרי העמוד ב'ספר החוקים' (ס"ח) לכל חוק; (ב) הכרך והשנה של מאמר בירנהק ושל מאמר לביא; (ג) פתיחת קובץ פסק הדין המלא וצירופו כנספח נפרד; (ד) המרת 'הערות השוליים' שבתחתית כל גרסה להערות שוליים אמיתיות בוורד (הוספה &lt; הערת שוליים).</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