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rFonts w:ascii="Times New Roman" w:cs="David" w:hAnsi="Times New Roman"/>
          <w:b/>
          <w:bCs/>
          <w:i w:val="false"/>
          <w:sz w:val="28"/>
          <w:szCs w:val="28"/>
          <w:rtl/>
        </w:rPr>
        <w:t xml:space="preserve">גורדון - המכללה האקדמית לחינוך, חיפה</w:t>
      </w:r>
    </w:p>
    <w:p>
      <w:pPr>
        <w:bidi/>
        <w:spacing w:after="0" w:before="0" w:line="360" w:lineRule="auto"/>
        <w:jc w:val="center"/>
      </w:pPr>
      <w:r>
        <w:rPr>
          <w:rFonts w:ascii="Times New Roman" w:cs="David" w:hAnsi="Times New Roman"/>
          <w:b w:val="false"/>
          <w:i w:val="false"/>
          <w:sz w:val="26"/>
          <w:szCs w:val="26"/>
          <w:rtl/>
        </w:rPr>
        <w:t xml:space="preserve">לימודי מוסמך בחינוך (M.Ed.)</w:t>
      </w:r>
    </w:p>
    <w:p>
      <w:pPr>
        <w:bidi/>
        <w:spacing w:after="0" w:before="0" w:line="360" w:lineRule="auto"/>
        <w:jc w:val="center"/>
      </w:pPr>
      <w:r>
        <w:rPr>
          <w:rFonts w:ascii="Times New Roman" w:cs="David" w:hAnsi="Times New Roman"/>
          <w:b w:val="false"/>
          <w:i w:val="false"/>
          <w:sz w:val="26"/>
          <w:szCs w:val="26"/>
          <w:rt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sz w:val="32"/>
          <w:szCs w:val="32"/>
          <w:rt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sz w:val="28"/>
          <w:szCs w:val="28"/>
          <w:rt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מגיש: משה חן, ת"ז 209020932</w:t>
      </w:r>
    </w:p>
    <w:p>
      <w:pPr>
        <w:bidi/>
        <w:spacing w:after="0" w:before="0" w:line="360" w:lineRule="auto"/>
        <w:jc w:val="center"/>
      </w:pPr>
      <w:r>
        <w:rPr>
          <w:rFonts w:ascii="Times New Roman" w:cs="David" w:hAnsi="Times New Roman"/>
          <w:b w:val="false"/>
          <w:i w:val="false"/>
          <w:sz w:val="26"/>
          <w:szCs w:val="26"/>
          <w:rt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sz w:val="26"/>
          <w:szCs w:val="26"/>
          <w:rtl/>
        </w:rPr>
        <w:t xml:space="preserve">אלול תשפ"ו, אוגוסט 2026</w:t>
      </w:r>
    </w:p>
    <w:p>
      <w:r>
        <w:br w:type="page"/>
      </w:r>
    </w:p>
    <w:p>
      <w:pPr>
        <w:bidi/>
        <w:spacing w:after="240" w:before="0" w:line="360" w:lineRule="auto"/>
        <w:jc w:val="center"/>
      </w:pPr>
      <w:r>
        <w:rPr>
          <w:rFonts w:ascii="Times New Roman" w:cs="David" w:hAnsi="Times New Roman"/>
          <w:b/>
          <w:bCs/>
          <w:i w:val="false"/>
          <w:sz w:val="32"/>
          <w:szCs w:val="32"/>
          <w:rtl/>
        </w:rPr>
        <w:t xml:space="preserve">סקירת ספרות</w:t>
      </w:r>
    </w:p>
    <w:p>
      <w:pPr>
        <w:bidi/>
        <w:spacing w:after="120" w:before="240" w:line="360" w:lineRule="auto"/>
        <w:jc w:val="right"/>
      </w:pPr>
      <w:r>
        <w:rPr>
          <w:rFonts w:ascii="Times New Roman" w:cs="David" w:hAnsi="Times New Roman"/>
          <w:b/>
          <w:bCs/>
          <w:i w:val="false"/>
          <w:sz w:val="28"/>
          <w:szCs w:val="28"/>
          <w:rt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sz w:val="24"/>
          <w:szCs w:val="24"/>
          <w:rtl/>
        </w:rPr>
        <w:t xml:space="preserve">מערכת החינוך המיוחד עברה בעשורים האחרונים דרך ארוכה, ממדיניות של הפרדה והשמה במסגרות נבדלות אל עבר שילובם של תלמידים עם צרכים ייחודיים בחינוך הרגיל. לייזר (2001) מתאר את המעבר של החינוך המיוחד ממעמד של בידוד, או של "קרוב רחוק" של מערכת החינוך הכללית, אל מעמד של שותף מלא ופעיל, ומציב את סוגיית השילוב במרכז הדיון הביקורתי בתחום. בישראל עוגן המהלך בחוק חינוך מיוחד, התשמ"ח-1988, המחייב את רשויות החינוך לשלב את הילד עם הצרכים הייחודיים במסגרת המתאימה ביותר ליכולתו, תוך מתן זכות קדימה להשמה במוסד חינוך שאינו מוסד לחינוך מיוחד, ומעניק להורים תפקיד מרכזי בהחלטות על השילוב המתאים לילדם (הלל לביאן ובכר כץ, 2010). עקרון ההכלה מרחיב את רעיון השילוב צעד נוסף: לא עוד התאמת התלמיד למסגרת, אלא תכנון הסביבה החינוכית מראש באופן המאפשר השתתפות של מגוון לומדים, ברוח העיצוב האוניברסלי ללמידה (הוצלר, 2019).</w:t>
      </w:r>
    </w:p>
    <w:p>
      <w:pPr>
        <w:bidi/>
        <w:spacing w:after="0" w:line="360" w:lineRule="auto"/>
        <w:ind w:firstLine="709"/>
        <w:jc w:val="both"/>
      </w:pPr>
      <w:r>
        <w:rPr>
          <w:rFonts w:ascii="Times New Roman" w:cs="David" w:hAnsi="Times New Roman"/>
          <w:b w:val="false"/>
          <w:i w:val="false"/>
          <w:sz w:val="24"/>
          <w:szCs w:val="24"/>
          <w:rtl/>
        </w:rPr>
        <w:t xml:space="preserve">העניין המחקרי בעמדות כלפי השילוב נמשך גם כיום.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והמעבר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ind w:firstLine="709"/>
        <w:jc w:val="both"/>
      </w:pPr>
      <w:r>
        <w:rPr>
          <w:rFonts w:ascii="Times New Roman" w:cs="David" w:hAnsi="Times New Roman"/>
          <w:b w:val="false"/>
          <w:i w:val="false"/>
          <w:sz w:val="24"/>
          <w:szCs w:val="24"/>
          <w:rtl/>
        </w:rPr>
        <w:t xml:space="preserve">עם זאת, הספרות מלמדת כי עצם ההשמה בכיתה רגילה אינה מבטיחה שילוב מוצלח. גביש ושמעוני (2006), שראיינו בראיונות עומק חצי-מובנים 25 מורות המשלבות תלמידים עם צרכים ייחודיים בכיתותיהן, מצאו היעדר ידע מבוסס ושיטתי על השילוב והיעדר הכנה מערכתית מתוכננת, עד כדי תפיסת השדה כמערכת כאוטית שבה המורות חשופות דרך קבע לקבוצות לחץ שונות. תפיסה זו תורמת לתחושות של חוסר הוגנות, כישלון ושחיקה, וכדרך התמודדות עושות המורות את המינימום המתחייב ומעבירות את האחריות שמעבר לכך לאנשי החינוך המיוחד. גם בתחום החברתי התמונה מורכבת: סקירת מחקרים על תפקודם החברתי של תלמידים משולבים העלתה ממצאים שאינם חד-משמעיים, ולצד עדויות לתרומתן של מסגרות משלבות לפיתוח מיומנויות חברתיות תועדו קשיים ממשיים בהשתלבות במבנה החברתי של הכיתה (שנקר ופרוש, 2003). השילוב הוא אפוא תהליך הדורש תנאים, הכנה וליווי, ולא אירוע מנהלי חד-פעמי.</w:t>
      </w:r>
    </w:p>
    <w:p>
      <w:pPr>
        <w:bidi/>
        <w:spacing w:after="120" w:before="240" w:line="360" w:lineRule="auto"/>
        <w:jc w:val="right"/>
      </w:pPr>
      <w:r>
        <w:rPr>
          <w:rFonts w:ascii="Times New Roman" w:cs="David" w:hAnsi="Times New Roman"/>
          <w:b/>
          <w:bCs/>
          <w:i w:val="false"/>
          <w:sz w:val="28"/>
          <w:szCs w:val="28"/>
          <w:rt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sz w:val="24"/>
          <w:szCs w:val="24"/>
          <w:rtl/>
        </w:rPr>
        <w:t xml:space="preserve">אוטיזם הוא הפרעה התפתחותית המופיעה לרוב בשלושים ושישה חודשי החיים הראשונים, והיא מתאפיינת בחריגות איכותית בקשרים החברתיים ההדדיים ובדפוסי ההתקשרות, וכן ברפרטואר מוגבל וחוזר על עצמו של תחומי עניין ופעילות (הלל לביאן ובכר כץ, 2010). בתוך האוכלוסייה הרחבה של תלמידים עם צרכים ייחודיים, התלמידים על הרצף האוטיסטי (ASD) מציבים בפני המסגרת המשלבת אתגר ייחודי: הקושי המרכזי שלהם אינו בהכרח לימודי, אלא ממוקד בתקשורת החברתית, ובכלל זה בהבנת שפה פיגורטיבית ובביצוע ההיקשים הנדרשים לפירוש סיטואציות חברתיות (גרומן וצוריאל, 2022).</w:t>
      </w:r>
    </w:p>
    <w:p>
      <w:pPr>
        <w:bidi/>
        <w:spacing w:after="0" w:line="360" w:lineRule="auto"/>
        <w:ind w:firstLine="709"/>
        <w:jc w:val="both"/>
      </w:pPr>
      <w:r>
        <w:rPr>
          <w:rFonts w:ascii="Times New Roman" w:cs="David" w:hAnsi="Times New Roman"/>
          <w:b w:val="false"/>
          <w:i w:val="false"/>
          <w:sz w:val="24"/>
          <w:szCs w:val="24"/>
          <w:rtl/>
        </w:rPr>
        <w:t xml:space="preserve">לקשיים החברתיים מתלווים מאפיינים רגשיים וקוגניטיביים המעצימים זה את זה. רמות חרדה גבוהות שכיחות בקרב תלמידים על הרצף הלומדים בבתי ספר רגילים, עד כדי כך שסקירה שיטתית ייחודית הוקדשה להתערבויות להפחתת חרדה באוכלוסייה זו דווקא בסביבת החינוך הרגיל (Hillman et al., 2020). פגיעה בתפקודים הניהוליים משפיעה על יכולת הוויסות העצמי, על גמישות המחשבה ועל ההתמדה במשימות, ותוכניות אימון קוגניטיבי המכוונות לתפקודים אלה נמצאו בעלות פוטנציאל לשיפורם (Pasqualotto et al., 2021). נוסף על כך, קבוצות לאימון מיומנויות חברתיות הפועלות בבית הספר נמצאו יעילות, אך יעילותן מושפעת מהרכב הקבוצה ומסביבת ההתערבות, ממצא המלמד שהתחום החברתי אינו משתפר מאליו אלא מחייב תכנון מדוקדק (Dean et al., 2020). שילובם המוצלח של תלמידים אלה מחייב לפיכך מענה שאינו מסתכם בהנגשה לימודית, אלא נוגע בליבת התחום החברתי-רגשי.</w:t>
      </w:r>
    </w:p>
    <w:p>
      <w:pPr>
        <w:bidi/>
        <w:spacing w:after="120" w:before="240" w:line="360" w:lineRule="auto"/>
        <w:jc w:val="right"/>
      </w:pPr>
      <w:r>
        <w:rPr>
          <w:rFonts w:ascii="Times New Roman" w:cs="David" w:hAnsi="Times New Roman"/>
          <w:b/>
          <w:bCs/>
          <w:i w:val="false"/>
          <w:sz w:val="28"/>
          <w:szCs w:val="28"/>
          <w:rt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sz w:val="24"/>
          <w:szCs w:val="24"/>
          <w:rtl/>
        </w:rPr>
        <w:t xml:space="preserve">מחקרים ישראליים שליוו את שילובם של ילדים עם אוטיזם בחינוך הרגיל מלמדים כי הצלחת השילוב אינה חד-ערכית: היא נמדדת ביחס למטרות שהוצבו בתחילת התהליך ותלויה בהתקיימותם של תנאים תומכים (הלל לביאן ובכר כץ, 2010). במחקר איכותני-נרטיבי שנשען על סיפור חייה של גננת משלבת ביקשו הלל לביאן ובכר כץ (2010) להבין מבפנים את הגורמים העשויים להגדיל את הסיכוי לשילוב מוצלח, מתוך הנחה שסוגיית המסגרת המתאימה נדונה בחיי הילד יותר מפעם אחת, ולא פעם היא נקודת מחלוקת בין ההורים למערכת החינוכית.</w:t>
      </w:r>
    </w:p>
    <w:p>
      <w:pPr>
        <w:bidi/>
        <w:spacing w:after="0" w:line="360" w:lineRule="auto"/>
        <w:ind w:firstLine="709"/>
        <w:jc w:val="both"/>
      </w:pPr>
      <w:r>
        <w:rPr>
          <w:rFonts w:ascii="Times New Roman" w:cs="David" w:hAnsi="Times New Roman"/>
          <w:b w:val="false"/>
          <w:i w:val="false"/>
          <w:sz w:val="24"/>
          <w:szCs w:val="24"/>
          <w:rtl/>
        </w:rPr>
        <w:t xml:space="preserve">ההצלחה תלויה גם בסביבה החברתית המקיפה את התלמיד המשולב, ולא רק בו עצמו. ויטני ורייטר (2006) בחנו 52 תלמידים עם התפתחות תקינה המשלבים בכיתתם תלמידים עם אוטיזם לאורך כמה שנים ובאופן יומיומי, באמצעות שאלונים וראיונות עם התלמידים ועם מורות המלוות את השילוב. הממצאים העידו על קיומה של שחיקה בקרב התלמידים המשלבים, ועל קשר בין עוצמת השחיקה לבין עמדותיהם כלפי השילוב ואיכות התיווך שלהם: ככל שהשחיקה גבוהה יותר, העמדות שליליות יותר ואיכות התיווך נמוכה יותר. תוכנית התערבות שהופעלה בקרב התלמידים המשלבים הביאה לירידה בשחיקה ולשינוי חיובי בעמדות ובאיכות התיווך, ומכאן שהשקעה בסביבה המשלבת היא חלק בלתי נפרד מהשקעה בתלמיד המשולב.</w:t>
      </w:r>
    </w:p>
    <w:p>
      <w:pPr>
        <w:bidi/>
        <w:spacing w:after="0" w:line="360" w:lineRule="auto"/>
        <w:ind w:firstLine="709"/>
        <w:jc w:val="both"/>
      </w:pPr>
      <w:r>
        <w:rPr>
          <w:rFonts w:ascii="Times New Roman" w:cs="David" w:hAnsi="Times New Roman"/>
          <w:b w:val="false"/>
          <w:i w:val="false"/>
          <w:sz w:val="24"/>
          <w:szCs w:val="24"/>
          <w:rtl/>
        </w:rPr>
        <w:t xml:space="preserve">גם כאשר העמדות כלפי השילוב חיוביות, אין בכך ערובה לקשר חברתי ממשי. וירוב ואחרים (2018) בדקו בשיטה כמותנית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במצבים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תמונה דומה עולה מנקודת מבטם של האוטיסטים עצמם: במחקר איכותני משתף, שנכתב בהובלת חוקרת אוטיסטית והשתתפו בו 24 אוטיסטים בוגרי מערכת החינוך ו-21 הורים לילדים אוטיסטים, עלו תמות של חוסר ידע והבנה מצד הצוותים, של סבל שמקורו באינטראקציות עם ילדים ועם צוות ובאי-התאמה של הסביבה, ולצידן גם נקודות אור של סיוע והנגשה. מסקנת החוקרות הייתה שהמערכת פועלת ברוח המודל הרפואי של מוגבלות ודורשת מהתלמיד להתאים את עצמו אליה, ודרישה זו כשלעצמה היא מקור מרכזי לסבל (אלון מן וברק, 2025). החוליה החלשה של השילוב היא אפוא החוליה החברתית-רגשית, וכאן נדרשת התערבות מכוונת.</w:t>
      </w:r>
    </w:p>
    <w:p>
      <w:pPr>
        <w:bidi/>
        <w:spacing w:after="120" w:before="240" w:line="360" w:lineRule="auto"/>
        <w:jc w:val="right"/>
      </w:pPr>
      <w:r>
        <w:rPr>
          <w:rFonts w:ascii="Times New Roman" w:cs="David" w:hAnsi="Times New Roman"/>
          <w:b/>
          <w:bCs/>
          <w:i w:val="false"/>
          <w:sz w:val="28"/>
          <w:szCs w:val="28"/>
          <w:rt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sz w:val="24"/>
          <w:szCs w:val="24"/>
          <w:rt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בישראל הוצבה הלמידה החברתית-רגשית כיעד מערכתי בעקבות עבודתה של ועדת מומחים מטעם יוזמה, מרכז לידע ולמחקר בחינוך, שהמליצה לטפח מיומנויות אלה בכל שכבות הגיל ועמדה גם על הצורך בדרכי הערכה מותאמות (בנבנישתי ופרידמן, 2020). בעבור תלמידים על הרצף האוטיסטי מוצע לשלב מטרות חברתיות-רגשיות באופן מפורש בתוכנית החינוכית האישית, בשל מרכזיותן לתפקוד היומיומי ולרווחה האישית (Dale et al., 2022).</w:t>
      </w:r>
    </w:p>
    <w:p>
      <w:pPr>
        <w:bidi/>
        <w:spacing w:after="0" w:line="360" w:lineRule="auto"/>
        <w:ind w:firstLine="709"/>
        <w:jc w:val="both"/>
      </w:pPr>
      <w:r>
        <w:rPr>
          <w:rFonts w:ascii="Times New Roman" w:cs="David" w:hAnsi="Times New Roman"/>
          <w:b w:val="false"/>
          <w:i w:val="false"/>
          <w:sz w:val="24"/>
          <w:szCs w:val="24"/>
          <w:rt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ממצא זה מצטרף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ind w:firstLine="709"/>
        <w:jc w:val="both"/>
      </w:pPr>
      <w:r>
        <w:rPr>
          <w:rFonts w:ascii="Times New Roman" w:cs="David" w:hAnsi="Times New Roman"/>
          <w:b w:val="false"/>
          <w:i w:val="false"/>
          <w:sz w:val="24"/>
          <w:szCs w:val="24"/>
          <w:rtl/>
        </w:rPr>
        <w:t xml:space="preserve">המחקר על התערבויות לתלמידים על הרצף מצביע על עיקרון עבודה חוזר: פירוק של מיומנויות מופשטות לשלבים מפורשים ומובנים.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שנעזרה באפליקציית למידה לאורך שנים-עשר מפגשים, קידמה התמדה במשימות של הבנת הנקרא אצל תלמיד כיתה ג' עם ASD שקרא ללא קושי אך התקשה בהבנת הנקרא (שרייבר וסגל, 2018). המשותף להתערבויות אלה הוא הנגשה חזותית ומובנית של תוכן מובלע, המפחיתה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sz w:val="28"/>
          <w:szCs w:val="28"/>
          <w:rtl/>
        </w:rPr>
        <w:t xml:space="preserve">5. תוכנית "מעגלים" והערכת יישומה</w:t>
      </w:r>
    </w:p>
    <w:p>
      <w:pPr>
        <w:bidi/>
        <w:spacing w:after="0" w:line="360" w:lineRule="auto"/>
        <w:jc w:val="both"/>
      </w:pPr>
      <w:r>
        <w:rPr>
          <w:rFonts w:ascii="Times New Roman" w:cs="David" w:hAnsi="Times New Roman"/>
          <w:b w:val="false"/>
          <w:i w:val="false"/>
          <w:sz w:val="24"/>
          <w:szCs w:val="24"/>
          <w:rtl/>
        </w:rPr>
        <w:t xml:space="preserve">תוכנית "מעגלים" פותחה במקורה עבור אנשים עם מוגבלות קוגניטיבית התפתחותית, ומטרתה להכינם לחיים עצמאיים, בטוחים ובעלי משמעות בקהילה באמצעות הקניית מיומנויות חברתיות (משרד החינוך, ל.ת.). התוכנית ממיינת את הסביבה החברתית לחמישה מעגלים על פי מידת הקרבה: במרכז נמצא המעגל הפרטי, שבו יש מקום לאדם אחד בלבד, התלמיד עצמו; סביבו המעגל המשפחתי, ובו האנשים הקרובים והאוהבים; אחריו המעגל החברי, שיכול להכיל אנשים רבים יותר ולהוות מקור להערכה עצמית; המעגל הרביעי הוא מעגל המכרים ואנשי המקצוע, המאופיין בלחיצת יד או בנפנוף לשלום; והמעגל החיצוני הוא מעגל הזרים (משרד החינוך, ל.ת.).</w:t>
      </w:r>
    </w:p>
    <w:p>
      <w:pPr>
        <w:bidi/>
        <w:spacing w:after="0" w:line="360" w:lineRule="auto"/>
        <w:ind w:firstLine="709"/>
        <w:jc w:val="both"/>
      </w:pPr>
      <w:r>
        <w:rPr>
          <w:rFonts w:ascii="Times New Roman" w:cs="David" w:hAnsi="Times New Roman"/>
          <w:b w:val="false"/>
          <w:i w:val="false"/>
          <w:sz w:val="24"/>
          <w:szCs w:val="24"/>
          <w:rt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ההמחשה החזותית של המעגלים מבקשת התוכנית לפתח מודעות והערכה עצמית, שמירה על מרחב אישי, הבחנה בדרגות קרבה חברתית, התנהגות חברתית מקובלת ומיומנויות תקשורת אישית ובינאישית (משרד החינוך, ל.ת.). מבנה זה הופך את התוכנית למתאימה במיוחד לתלמידים על הרצף האוטיסטי: היא ממירה את הכללים החברתיים המובלעים, שהם בדיוק נקודת הקושי שתוארה לעיל, לייצוג חזותי מפורש ומדורג.</w:t>
      </w:r>
    </w:p>
    <w:p>
      <w:pPr>
        <w:bidi/>
        <w:spacing w:after="0" w:line="360" w:lineRule="auto"/>
        <w:ind w:firstLine="709"/>
        <w:jc w:val="both"/>
      </w:pPr>
      <w:r>
        <w:rPr>
          <w:rFonts w:ascii="Times New Roman" w:cs="David" w:hAnsi="Times New Roman"/>
          <w:b w:val="false"/>
          <w:i w:val="false"/>
          <w:sz w:val="24"/>
          <w:szCs w:val="24"/>
          <w:rtl/>
        </w:rPr>
        <w:t xml:space="preserve">סקירת הספרות מציירת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w:t>
      </w:r>
    </w:p>
    <w:p>
      <w:r>
        <w:br w:type="page"/>
      </w:r>
    </w:p>
    <w:p>
      <w:pPr>
        <w:bidi/>
        <w:spacing w:after="240" w:before="0" w:line="360" w:lineRule="auto"/>
        <w:jc w:val="center"/>
      </w:pPr>
      <w:r>
        <w:rPr>
          <w:rFonts w:ascii="Times New Roman" w:cs="David" w:hAnsi="Times New Roman"/>
          <w:b/>
          <w:bCs/>
          <w:i w:val="false"/>
          <w:sz w:val="32"/>
          <w:szCs w:val="32"/>
          <w:rtl/>
        </w:rPr>
        <w:t xml:space="preserve">רשימת מקורות</w:t>
      </w:r>
    </w:p>
    <w:p>
      <w:pPr>
        <w:bidi/>
        <w:spacing w:after="120" w:line="360" w:lineRule="auto"/>
        <w:ind w:left="709" w:hanging="709"/>
      </w:pPr>
      <w:r>
        <w:rPr>
          <w:rFonts w:ascii="Times New Roman" w:cs="David" w:hAnsi="Times New Roman"/>
          <w:b w:val="false"/>
          <w:i w:val="false"/>
          <w:sz w:val="24"/>
          <w:szCs w:val="24"/>
          <w:rtl/>
        </w:rPr>
        <w:t xml:space="preserve">אלון מן, ט. וברק, ד. (2025). כיצד אוטיסטים והורים לאוטיסטים חווים את מערכת החינוך. </w:t>
      </w:r>
      <w:r>
        <w:rPr>
          <w:rFonts w:ascii="Times New Roman" w:cs="David" w:hAnsi="Times New Roman"/>
          <w:b w:val="false"/>
          <w:i/>
          <w:iCs/>
          <w:sz w:val="24"/>
          <w:szCs w:val="24"/>
          <w:rtl/>
        </w:rPr>
        <w:t xml:space="preserve">במעגלי חינוך: מחקר, עיון ויצירה</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14</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https://www.dyellin.ac.il/sites/default/files/journals/journaleducation/edtion14/autistics_parents_education_system.pdf</w:t>
      </w:r>
    </w:p>
    <w:p>
      <w:pPr>
        <w:bidi/>
        <w:spacing w:after="120" w:line="360" w:lineRule="auto"/>
        <w:ind w:left="709" w:hanging="709"/>
      </w:pPr>
      <w:r>
        <w:rPr>
          <w:rFonts w:ascii="Times New Roman" w:cs="David" w:hAnsi="Times New Roman"/>
          <w:b w:val="false"/>
          <w:i w:val="false"/>
          <w:sz w:val="24"/>
          <w:szCs w:val="24"/>
          <w:rtl/>
        </w:rPr>
        <w:t xml:space="preserve">בנבנישתי, ר. ופרידמן, ט. (עורכים). (2020). </w:t>
      </w:r>
      <w:r>
        <w:rPr>
          <w:rFonts w:ascii="Times New Roman" w:cs="David" w:hAnsi="Times New Roman"/>
          <w:b w:val="false"/>
          <w:i/>
          <w:iCs/>
          <w:sz w:val="24"/>
          <w:szCs w:val="24"/>
          <w:rt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sz w:val="24"/>
          <w:szCs w:val="24"/>
          <w:rtl/>
        </w:rPr>
        <w:t xml:space="preserve">. יוזמה - מרכז לידע ולמחקר בחינוך, האקדמיה הלאומית הישראלית למדעים. </w:t>
      </w:r>
      <w:r>
        <w:rPr>
          <w:rFonts w:ascii="Times New Roman" w:cs="David" w:hAnsi="Times New Roman"/>
          <w:i w:val="false"/>
          <w:sz w:val="24"/>
          <w:szCs w:val="24"/>
        </w:rPr>
        <w:t xml:space="preserve">https://education.academy.ac.il/SystemFiles/22-9-20%20SEL%20all.pdf</w:t>
      </w:r>
    </w:p>
    <w:p>
      <w:pPr>
        <w:bidi/>
        <w:spacing w:after="120" w:line="360" w:lineRule="auto"/>
        <w:ind w:left="709" w:hanging="709"/>
      </w:pPr>
      <w:r>
        <w:rPr>
          <w:rFonts w:ascii="Times New Roman" w:cs="David" w:hAnsi="Times New Roman"/>
          <w:b w:val="false"/>
          <w:i w:val="false"/>
          <w:sz w:val="24"/>
          <w:szCs w:val="24"/>
          <w:rtl/>
        </w:rPr>
        <w:t xml:space="preserve">גביש, ב. ושמעוני, ש. (2006). תפיסותיהן של המורות הכוללות את שילוב התלמידים בעלי הצרכים המיוחדים בכיתותיהן.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35-54.</w:t>
      </w:r>
    </w:p>
    <w:p>
      <w:pPr>
        <w:bidi/>
        <w:spacing w:after="120" w:line="360" w:lineRule="auto"/>
        <w:ind w:left="709" w:hanging="709"/>
      </w:pPr>
      <w:r>
        <w:rPr>
          <w:rFonts w:ascii="Times New Roman" w:cs="David" w:hAnsi="Times New Roman"/>
          <w:b w:val="false"/>
          <w:i w:val="false"/>
          <w:sz w:val="24"/>
          <w:szCs w:val="24"/>
          <w:rt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145-179.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הוצלר, י. (2019). הכלה, עיצוב אוניברסלי והתאמה בחינוך הגופני. </w:t>
      </w:r>
      <w:r>
        <w:rPr>
          <w:rFonts w:ascii="Times New Roman" w:cs="David" w:hAnsi="Times New Roman"/>
          <w:b w:val="false"/>
          <w:i/>
          <w:iCs/>
          <w:sz w:val="24"/>
          <w:szCs w:val="24"/>
          <w:rtl/>
        </w:rPr>
        <w:t xml:space="preserve">בתנועה: כתב עת למדעי החינוך הגופני והספורט</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יב</w:t>
      </w:r>
      <w:r>
        <w:rPr>
          <w:rFonts w:ascii="Times New Roman" w:cs="David" w:hAnsi="Times New Roman"/>
          <w:b w:val="false"/>
          <w:i w:val="false"/>
          <w:sz w:val="24"/>
          <w:szCs w:val="24"/>
          <w:rtl/>
        </w:rPr>
        <w:t xml:space="preserve">(1), 70-94.</w:t>
      </w:r>
    </w:p>
    <w:p>
      <w:pPr>
        <w:bidi/>
        <w:spacing w:after="120" w:line="360" w:lineRule="auto"/>
        <w:ind w:left="709" w:hanging="709"/>
      </w:pPr>
      <w:r>
        <w:rPr>
          <w:rFonts w:ascii="Times New Roman" w:cs="David" w:hAnsi="Times New Roman"/>
          <w:b w:val="false"/>
          <w:i w:val="false"/>
          <w:sz w:val="24"/>
          <w:szCs w:val="24"/>
          <w:rtl/>
        </w:rPr>
        <w:t xml:space="preserve">הלל לביאן, ר. ובכר כץ, ע. (2010). ילדי הבועה בחיי הבבואה: שילוב ילדים עם אוטיזם בחינוך הרגיל.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25</w:t>
      </w:r>
      <w:r>
        <w:rPr>
          <w:rFonts w:ascii="Times New Roman" w:cs="David" w:hAnsi="Times New Roman"/>
          <w:b w:val="false"/>
          <w:i w:val="false"/>
          <w:sz w:val="24"/>
          <w:szCs w:val="24"/>
          <w:rtl/>
        </w:rPr>
        <w:t xml:space="preserve">(1), 43-58.</w:t>
      </w:r>
    </w:p>
    <w:p>
      <w:pPr>
        <w:bidi/>
        <w:spacing w:after="120" w:line="360" w:lineRule="auto"/>
        <w:ind w:left="709" w:hanging="709"/>
      </w:pPr>
      <w:r>
        <w:rPr>
          <w:rFonts w:ascii="Times New Roman" w:cs="David" w:hAnsi="Times New Roman"/>
          <w:b w:val="false"/>
          <w:i w:val="false"/>
          <w:sz w:val="24"/>
          <w:szCs w:val="24"/>
          <w:rt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6</w:t>
      </w:r>
      <w:r>
        <w:rPr>
          <w:rFonts w:ascii="Times New Roman" w:cs="David" w:hAnsi="Times New Roman"/>
          <w:b w:val="false"/>
          <w:i w:val="false"/>
          <w:sz w:val="24"/>
          <w:szCs w:val="24"/>
          <w:rtl/>
        </w:rPr>
        <w:t xml:space="preserve">.</w:t>
      </w:r>
    </w:p>
    <w:p>
      <w:pPr>
        <w:bidi/>
        <w:spacing w:after="120" w:line="360" w:lineRule="auto"/>
        <w:ind w:left="709" w:hanging="709"/>
      </w:pPr>
      <w:r>
        <w:rPr>
          <w:rFonts w:ascii="Times New Roman" w:cs="David" w:hAnsi="Times New Roman"/>
          <w:b w:val="false"/>
          <w:i w:val="false"/>
          <w:sz w:val="24"/>
          <w:szCs w:val="24"/>
          <w:rt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sz w:val="24"/>
          <w:szCs w:val="24"/>
        </w:rPr>
        <w:t xml:space="preserve">https://www.talpiot.ac.il/wp-content/uploads/2023/02/%D7%94%D7%A8-%D7%A6%D7%91%D7%99-%D7%A9%D7%99%D7%A8%D7%9C%D7%99.pdf</w:t>
      </w:r>
    </w:p>
    <w:p>
      <w:pPr>
        <w:bidi/>
        <w:spacing w:after="120" w:line="360" w:lineRule="auto"/>
        <w:ind w:left="709" w:hanging="709"/>
      </w:pPr>
      <w:r>
        <w:rPr>
          <w:rFonts w:ascii="Times New Roman" w:cs="David" w:hAnsi="Times New Roman"/>
          <w:b w:val="false"/>
          <w:i w:val="false"/>
          <w:sz w:val="24"/>
          <w:szCs w:val="24"/>
          <w:rtl/>
        </w:rPr>
        <w:t xml:space="preserve">ויטני, ט. ורייטר, ש. (2006). שילוב תלמידים עם אוטיזם: השפעת תוכנית התערבות על רמת השחיקה, עמדות ואיכות התקשורת אתם בקרב התלמידים עם התפתחות תקינה בכתה.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21</w:t>
      </w:r>
      <w:r>
        <w:rPr>
          <w:rFonts w:ascii="Times New Roman" w:cs="David" w:hAnsi="Times New Roman"/>
          <w:b w:val="false"/>
          <w:i w:val="false"/>
          <w:sz w:val="24"/>
          <w:szCs w:val="24"/>
          <w:rtl/>
        </w:rPr>
        <w:t xml:space="preserve">(1), 55-68.</w:t>
      </w:r>
    </w:p>
    <w:p>
      <w:pPr>
        <w:bidi/>
        <w:spacing w:after="120" w:line="360" w:lineRule="auto"/>
        <w:ind w:left="709" w:hanging="709"/>
      </w:pPr>
      <w:r>
        <w:rPr>
          <w:rFonts w:ascii="Times New Roman" w:cs="David" w:hAnsi="Times New Roman"/>
          <w:b w:val="false"/>
          <w:i w:val="false"/>
          <w:sz w:val="24"/>
          <w:szCs w:val="24"/>
          <w:rt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sz w:val="24"/>
          <w:szCs w:val="24"/>
          <w:rtl/>
        </w:rPr>
        <w:t xml:space="preserve">סחי"ש: סוגיות בחינוך מיוחד ובשילוב</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29</w:t>
      </w:r>
      <w:r>
        <w:rPr>
          <w:rFonts w:ascii="Times New Roman" w:cs="David" w:hAnsi="Times New Roman"/>
          <w:b w:val="false"/>
          <w:i w:val="false"/>
          <w:sz w:val="24"/>
          <w:szCs w:val="24"/>
          <w:rtl/>
        </w:rPr>
        <w:t xml:space="preserve">, 126-146.</w:t>
      </w:r>
    </w:p>
    <w:p>
      <w:pPr>
        <w:bidi/>
        <w:spacing w:after="120" w:line="360" w:lineRule="auto"/>
        <w:ind w:left="709" w:hanging="709"/>
      </w:pPr>
      <w:r>
        <w:rPr>
          <w:rFonts w:ascii="Times New Roman" w:cs="David" w:hAnsi="Times New Roman"/>
          <w:b w:val="false"/>
          <w:i w:val="false"/>
          <w:sz w:val="24"/>
          <w:szCs w:val="24"/>
          <w:rtl/>
        </w:rPr>
        <w:t xml:space="preserve">לייזר, י. (2001). החינוך המיוחד נושק לעתיד: נושאים לעיון ולדיון ביקורתי. </w:t>
      </w:r>
      <w:r>
        <w:rPr>
          <w:rFonts w:ascii="Times New Roman" w:cs="David" w:hAnsi="Times New Roman"/>
          <w:b w:val="false"/>
          <w:i/>
          <w:iCs/>
          <w:sz w:val="24"/>
          <w:szCs w:val="24"/>
          <w:rtl/>
        </w:rPr>
        <w:t xml:space="preserve">סחי"ש: סוגיות בחינוך מיוחד ובשיקום</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16</w:t>
      </w:r>
      <w:r>
        <w:rPr>
          <w:rFonts w:ascii="Times New Roman" w:cs="David" w:hAnsi="Times New Roman"/>
          <w:b w:val="false"/>
          <w:i w:val="false"/>
          <w:sz w:val="24"/>
          <w:szCs w:val="24"/>
          <w:rtl/>
        </w:rPr>
        <w:t xml:space="preserve">(1), 15-24.</w:t>
      </w:r>
    </w:p>
    <w:p>
      <w:pPr>
        <w:bidi/>
        <w:spacing w:after="120" w:line="360" w:lineRule="auto"/>
        <w:ind w:left="709" w:hanging="709"/>
      </w:pPr>
      <w:r>
        <w:rPr>
          <w:rFonts w:ascii="Times New Roman" w:cs="David" w:hAnsi="Times New Roman"/>
          <w:b w:val="false"/>
          <w:i w:val="false"/>
          <w:sz w:val="24"/>
          <w:szCs w:val="24"/>
          <w:rtl/>
        </w:rPr>
        <w:t xml:space="preserve">מזרחי, ע. ויריב, א. (2022). שיפור מיומנויות חברתיות-רגשיות של תלמידה עם ASD: חקר מקרה. </w:t>
      </w:r>
      <w:r>
        <w:rPr>
          <w:rFonts w:ascii="Times New Roman" w:cs="David" w:hAnsi="Times New Roman"/>
          <w:b w:val="false"/>
          <w:i/>
          <w:iCs/>
          <w:sz w:val="24"/>
          <w:szCs w:val="24"/>
          <w:rtl/>
        </w:rPr>
        <w:t xml:space="preserve">חוקרים@החינוך המיוחד</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2</w:t>
      </w:r>
      <w:r>
        <w:rPr>
          <w:rFonts w:ascii="Times New Roman" w:cs="David" w:hAnsi="Times New Roman"/>
          <w:b w:val="false"/>
          <w:i w:val="false"/>
          <w:sz w:val="24"/>
          <w:szCs w:val="24"/>
          <w:rtl/>
        </w:rPr>
        <w:t xml:space="preserve">. </w:t>
      </w:r>
      <w:r>
        <w:rPr>
          <w:rFonts w:ascii="Times New Roman" w:cs="David" w:hAnsi="Times New Roman"/>
          <w:i w:val="false"/>
          <w:sz w:val="24"/>
          <w:szCs w:val="24"/>
        </w:rPr>
        <w:t xml:space="preserve">https://www.l-w.ac.il/articles/researchers-special-education/gilyonot-special-education/special-education-issue-2/</w:t>
      </w:r>
    </w:p>
    <w:p>
      <w:pPr>
        <w:bidi/>
        <w:spacing w:after="120" w:line="360" w:lineRule="auto"/>
        <w:ind w:left="709" w:hanging="709"/>
      </w:pPr>
      <w:r>
        <w:rPr>
          <w:rFonts w:ascii="Times New Roman" w:cs="David" w:hAnsi="Times New Roman"/>
          <w:b w:val="false"/>
          <w:i w:val="false"/>
          <w:sz w:val="24"/>
          <w:szCs w:val="24"/>
          <w:rtl/>
        </w:rPr>
        <w:t xml:space="preserve">משרד החינוך, היחידה למיניות ולמניעת פגיעה בילדים ובבני נוער. (ל.ת.). </w:t>
      </w:r>
      <w:r>
        <w:rPr>
          <w:rFonts w:ascii="Times New Roman" w:cs="David" w:hAnsi="Times New Roman"/>
          <w:b w:val="false"/>
          <w:i/>
          <w:iCs/>
          <w:sz w:val="24"/>
          <w:szCs w:val="24"/>
          <w:rtl/>
        </w:rPr>
        <w:t xml:space="preserve">תוכנית מעגלים</w:t>
      </w:r>
      <w:r>
        <w:rPr>
          <w:rFonts w:ascii="Times New Roman" w:cs="David" w:hAnsi="Times New Roman"/>
          <w:b w:val="false"/>
          <w:i w:val="false"/>
          <w:sz w:val="24"/>
          <w:szCs w:val="24"/>
          <w:rtl/>
        </w:rPr>
        <w:t xml:space="preserve"> [חוברת מידע].</w:t>
      </w:r>
    </w:p>
    <w:p>
      <w:pPr>
        <w:bidi/>
        <w:spacing w:after="120" w:line="360" w:lineRule="auto"/>
        <w:ind w:left="709" w:hanging="709"/>
      </w:pPr>
      <w:r>
        <w:rPr>
          <w:rFonts w:ascii="Times New Roman" w:cs="David" w:hAnsi="Times New Roman"/>
          <w:b w:val="false"/>
          <w:i w:val="false"/>
          <w:sz w:val="24"/>
          <w:szCs w:val="24"/>
          <w:rtl/>
        </w:rPr>
        <w:t xml:space="preserve">שנקר, ר. ופרוש, ש. (2003). התפקוד החברתי של ילדים עם צרכים מיוחדים המשולבים במערכת החינוך הכללי בראי המחקר. </w:t>
      </w:r>
      <w:r>
        <w:rPr>
          <w:rFonts w:ascii="Times New Roman" w:cs="David" w:hAnsi="Times New Roman"/>
          <w:b w:val="false"/>
          <w:i/>
          <w:iCs/>
          <w:sz w:val="24"/>
          <w:szCs w:val="24"/>
          <w:rtl/>
        </w:rPr>
        <w:t xml:space="preserve">כתב עת ישראלי לריפוי בעיסוק</w:t>
      </w:r>
      <w:r>
        <w:rPr>
          <w:rFonts w:ascii="Times New Roman" w:cs="David" w:hAnsi="Times New Roman"/>
          <w:b w:val="false"/>
          <w:i w:val="false"/>
          <w:sz w:val="24"/>
          <w:szCs w:val="24"/>
          <w:rtl/>
        </w:rPr>
        <w:t xml:space="preserve">, </w:t>
      </w:r>
      <w:r>
        <w:rPr>
          <w:rFonts w:ascii="Times New Roman" w:cs="David" w:hAnsi="Times New Roman"/>
          <w:b w:val="false"/>
          <w:i/>
          <w:iCs/>
          <w:sz w:val="24"/>
          <w:szCs w:val="24"/>
          <w:rtl/>
        </w:rPr>
        <w:t xml:space="preserve">12</w:t>
      </w:r>
      <w:r>
        <w:rPr>
          <w:rFonts w:ascii="Times New Roman" w:cs="David" w:hAnsi="Times New Roman"/>
          <w:b w:val="false"/>
          <w:i w:val="false"/>
          <w:sz w:val="24"/>
          <w:szCs w:val="24"/>
          <w:rtl/>
        </w:rPr>
        <w:t xml:space="preserve">(4), H193-H206.</w:t>
      </w:r>
    </w:p>
    <w:p>
      <w:pPr>
        <w:bidi/>
        <w:spacing w:after="120" w:line="360" w:lineRule="auto"/>
        <w:ind w:left="709" w:hanging="709"/>
      </w:pPr>
      <w:r>
        <w:rPr>
          <w:rFonts w:ascii="Times New Roman" w:cs="David" w:hAnsi="Times New Roman"/>
          <w:b w:val="false"/>
          <w:i w:val="false"/>
          <w:sz w:val="24"/>
          <w:szCs w:val="24"/>
          <w:rt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sz w:val="24"/>
          <w:szCs w:val="24"/>
          <w:rt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sz w:val="24"/>
          <w:szCs w:val="24"/>
          <w:rtl/>
        </w:rPr>
        <w:t xml:space="preserve"> (עמ' ע242-ע246). האוניברסיטה הפתוחה.</w:t>
      </w:r>
    </w:p>
    <w:p>
      <w:pPr>
        <w:spacing w:after="120" w:line="360" w:lineRule="auto"/>
        <w:ind w:left="709" w:hanging="709"/>
        <w:jc w:val="left"/>
      </w:pPr>
      <w:r>
        <w:rPr>
          <w:rFonts w:ascii="Times New Roman" w:cs="David" w:hAnsi="Times New Roman"/>
          <w:i w:val="false"/>
          <w:sz w:val="24"/>
          <w:szCs w:val="24"/>
        </w:rPr>
        <w:t xml:space="preserve">Dale, B. A., Rispoli, K., &amp; Ruble, L. A. (2022). Social emotional learning in young children with autism spectrum disorder. </w:t>
      </w:r>
      <w:r>
        <w:rPr>
          <w:rFonts w:ascii="Times New Roman" w:cs="David" w:hAnsi="Times New Roman"/>
          <w:i/>
          <w:iCs/>
          <w:sz w:val="24"/>
          <w:szCs w:val="24"/>
        </w:rPr>
        <w:t xml:space="preserve">Perspectives on Early Childhood Psychology and Education, 6</w:t>
      </w:r>
      <w:r>
        <w:rPr>
          <w:rFonts w:ascii="Times New Roman" w:cs="David" w:hAnsi="Times New Roman"/>
          <w:i w:val="false"/>
          <w:sz w:val="24"/>
          <w:szCs w:val="24"/>
        </w:rPr>
        <w:t xml:space="preserve">(2), Article 12. https://doi.org/10.58948/2834-8257.1021</w:t>
      </w:r>
    </w:p>
    <w:p>
      <w:pPr>
        <w:spacing w:after="120" w:line="360" w:lineRule="auto"/>
        <w:ind w:left="709" w:hanging="709"/>
        <w:jc w:val="left"/>
      </w:pPr>
      <w:r>
        <w:rPr>
          <w:rFonts w:ascii="Times New Roman" w:cs="David" w:hAnsi="Times New Roman"/>
          <w:i w:val="false"/>
          <w:sz w:val="24"/>
          <w:szCs w:val="24"/>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sz w:val="24"/>
          <w:szCs w:val="24"/>
        </w:rPr>
        <w:t xml:space="preserve">School Psychology Review, 49</w:t>
      </w:r>
      <w:r>
        <w:rPr>
          <w:rFonts w:ascii="Times New Roman" w:cs="David" w:hAnsi="Times New Roman"/>
          <w:i w:val="false"/>
          <w:sz w:val="24"/>
          <w:szCs w:val="24"/>
        </w:rPr>
        <w:t xml:space="preserve">(1), 60-73. https://doi.org/10.1080/2372966X.2020.1716636</w:t>
      </w:r>
    </w:p>
    <w:p>
      <w:pPr>
        <w:spacing w:after="120" w:line="360" w:lineRule="auto"/>
        <w:ind w:left="709" w:hanging="709"/>
        <w:jc w:val="left"/>
      </w:pPr>
      <w:r>
        <w:rPr>
          <w:rFonts w:ascii="Times New Roman" w:cs="David" w:hAnsi="Times New Roman"/>
          <w:i w:val="false"/>
          <w:sz w:val="24"/>
          <w:szCs w:val="24"/>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sz w:val="24"/>
          <w:szCs w:val="24"/>
        </w:rPr>
        <w:t xml:space="preserve">Campbell Systematic Reviews, 16</w:t>
      </w:r>
      <w:r>
        <w:rPr>
          <w:rFonts w:ascii="Times New Roman" w:cs="David" w:hAnsi="Times New Roman"/>
          <w:i w:val="false"/>
          <w:sz w:val="24"/>
          <w:szCs w:val="24"/>
        </w:rPr>
        <w:t xml:space="preserve">(2), e1086. https://doi.org/10.1002/cl2.1086</w:t>
      </w:r>
    </w:p>
    <w:p>
      <w:pPr>
        <w:spacing w:after="120" w:line="360" w:lineRule="auto"/>
        <w:ind w:left="709" w:hanging="709"/>
        <w:jc w:val="left"/>
      </w:pPr>
      <w:r>
        <w:rPr>
          <w:rFonts w:ascii="Times New Roman" w:cs="David" w:hAnsi="Times New Roman"/>
          <w:i w:val="false"/>
          <w:sz w:val="24"/>
          <w:szCs w:val="24"/>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sz w:val="24"/>
          <w:szCs w:val="24"/>
        </w:rPr>
        <w:t xml:space="preserve">Brain Sciences, 11</w:t>
      </w:r>
      <w:r>
        <w:rPr>
          <w:rFonts w:ascii="Times New Roman" w:cs="David" w:hAnsi="Times New Roman"/>
          <w:i w:val="false"/>
          <w:sz w:val="24"/>
          <w:szCs w:val="24"/>
        </w:rPr>
        <w:t xml:space="preserve">(10), 1280. https://doi.org/10.3390/brainsci11101280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2026-08-20T18:34:33.635Z</dcterms:created>
  <dcterms:modified xsi:type="dcterms:W3CDTF">2026-08-20T18:34:33.660Z</dcterms:modified>
</cp:coreProperties>
</file>

<file path=docProps/custom.xml><?xml version="1.0" encoding="utf-8"?>
<Properties xmlns="http://schemas.openxmlformats.org/officeDocument/2006/custom-properties" xmlns:vt="http://schemas.openxmlformats.org/officeDocument/2006/docPropsVTypes"/>
</file>