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bidi/>
        <w:spacing w:after="200" w:line="240" w:lineRule="auto"/>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p>
      <w:pPr>
        <w:keepNext w:val="false"/>
        <w:bidi/>
        <w:spacing w:after="0" w:before="0" w:line="360" w:lineRule="auto"/>
        <w:jc w:val="center"/>
      </w:pPr>
      <w:r>
        <w:rPr>
          <w:rFonts w:ascii="David" w:cs="David" w:eastAsia="David" w:hAnsi="David"/>
          <w:b/>
          <w:bCs/>
          <w:i w:val="false"/>
          <w:iCs w:val="false"/>
          <w:sz w:val="28"/>
          <w:szCs w:val="28"/>
          <w:rtl/>
        </w:rPr>
        <w:t xml:space="preserve">המרכז האקדמי פרס</w:t>
      </w:r>
    </w:p>
    <w:p>
      <w:pPr>
        <w:keepNext w:val="false"/>
        <w:bidi/>
        <w:spacing w:after="120" w:before="0" w:line="36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36"/>
          <w:szCs w:val="36"/>
          <w:rtl/>
        </w:rPr>
        <w:t xml:space="preserve">נספח: ראיונות עומק</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היענות לבדיקות ממוגרפיה בישראל,</w:t>
      </w:r>
    </w:p>
    <w:p>
      <w:pPr>
        <w:keepNext w:val="false"/>
        <w:bidi/>
        <w:spacing w:after="120" w:before="0" w:line="360" w:lineRule="auto"/>
        <w:jc w:val="center"/>
      </w:pPr>
      <w:r>
        <w:rPr>
          <w:rFonts w:ascii="David" w:cs="David" w:eastAsia="David" w:hAnsi="David"/>
          <w:b/>
          <w:bCs/>
          <w:i w:val="false"/>
          <w:iCs w:val="false"/>
          <w:sz w:val="28"/>
          <w:szCs w:val="28"/>
          <w:rtl/>
        </w:rPr>
        <w:t xml:space="preserve">בדגש על החברה הערבית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עבודה מסכמת במסגרת סמינר</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4"/>
          <w:szCs w:val="24"/>
          <w:rtl/>
        </w:rPr>
        <w:t xml:space="preserve">מגישות:</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120" w:before="240" w:line="360" w:lineRule="auto"/>
        <w:jc w:val="right"/>
      </w:pPr>
      <w:r>
        <w:rPr>
          <w:rFonts w:ascii="David" w:cs="David" w:eastAsia="David" w:hAnsi="David"/>
          <w:b/>
          <w:bCs/>
          <w:i w:val="false"/>
          <w:iCs w:val="false"/>
          <w:sz w:val="28"/>
          <w:szCs w:val="28"/>
          <w:rtl/>
        </w:rPr>
        <w:t xml:space="preserve">הערה מתודולוגית ואתית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הנספח כולל שנים עשר ראיונות עומק חצי מובנים שנערכו עם נשים בגילאי 44 עד 66 המתגוררות במרכז הארץ, בצפון ובנגב. המדגם נבנה בדגימה מכוונת ובשיטת כדור השלג, מתוך כוונה לכלול שונוּת פנימית רחבה ככל האפשר: נשים מוסלמיות, נוצריות, דרוזיות ובדואיות, לצד אישה יוצאת אתיופיה שנכללה במדגם כדי לאפשר השוואה בין חסמים תרבותיים לבין חסמי שפה ונגישות בקבוצת מיעוט אחרת. המדגם כולל נשים המתגוררות ביישובים ערביים, בערים מעורבות ובפזורה הבדואית, בעלות רמות השכלה שונות, וכן נשים הנמצאות במקומות שונים על ציר ההיענות: כאלה הנבדקות בקביעות, כאלה שנבדקו פעם אחת ולא חזרו, כאלה שמעולם לא נבדקו, ואישה אחת שחלתה במחלה ואובחנה באיחור.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בבתי המרואיינות, במקומות עבודתן ובמקרה אחד במרפאה, לפי בחירתן. משך כל ראיון נע בין 32 ל-45 דקות. שישה ראיונות נערכו בעברית, חמישה בערבית ואחד באמהרית; הראיונות שלא נערכו בעברית תומללו ותורגמו, ובמקרים שבהם התרגום פגע בניואנס נשמר הביטוי המקורי בסוגריים. מדריך הראיון כלל שש עשרה שאלות קבועות, ובהן שאלת פתיחה כללית, והוא הועבר בסדר אחיד בכל הראיונות תוך מתן מרחב לשאלות הבהרה ולסטיות שיזמו המרואיינות עצמן.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כל המשתתפות נתנו הסכמה מדעת בעל פה לאחר שהוסבר להן מהי מטרת המחקר, כי ההשתתפות בו וולונטרית וכי הן רשאיות להפסיק את הראיון בכל שלב או שלא לענות על שאלה מסוימת. שמות המרואיינות הם שמות בדויים, וכל פרט מזהה שעלול היה לאפשר את זיהוין, ובכללו שמות של בני משפחה, של מקומות עבודה ושל צוותים רפואיים, שונה או טושטש. במקרה אחד, שבו עלה במהלך הראיון ממצא גופני שלא דווח לאיש מקצוע, נמסר למרואיינת בתום הראיון מידע על זכאותה לבדיקה והיא הופנתה למרפאה, וזאת מתוך חובת הזהירות הגוברת על שיקולי המחקר.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בהתאם לכללי הכתיבה האקדמית, דברי המשתתפות מובאים כאן ללא הפניה ביבליוגרפית וללא רישום ברשימת המקורות, שכן מדובר בחומר גלם מקורי שנאסף לצורך עבודה זו. הניתוח התמטי של הראיונות ושילובם עם ממצאי סקירת הספרות מופיעים בגוף העבודה ולא בנספח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מדריך הראיון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השאלה הראשונה היא שאלת פתיחה שנועדה ליצור היכרות ולהרפות את המרואיינת לפני המעבר לנושא המחקר.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 ופאא דכוור</w:t>
      </w:r>
    </w:p>
    <w:p>
      <w:pPr>
        <w:keepNext/>
        <w:bidi/>
        <w:spacing w:after="120" w:before="0" w:line="360" w:lineRule="auto"/>
        <w:jc w:val="right"/>
      </w:pPr>
      <w:r>
        <w:rPr>
          <w:rFonts w:ascii="David" w:cs="David" w:eastAsia="David" w:hAnsi="David"/>
          <w:b w:val="false"/>
          <w:bCs w:val="false"/>
          <w:i/>
          <w:iCs/>
          <w:sz w:val="22"/>
          <w:szCs w:val="22"/>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2: ברכנש אלמו</w:t>
      </w:r>
    </w:p>
    <w:p>
      <w:pPr>
        <w:keepNext/>
        <w:bidi/>
        <w:spacing w:after="120" w:before="0" w:line="360" w:lineRule="auto"/>
        <w:jc w:val="right"/>
      </w:pPr>
      <w:r>
        <w:rPr>
          <w:rFonts w:ascii="David" w:cs="David" w:eastAsia="David" w:hAnsi="David"/>
          <w:b w:val="false"/>
          <w:bCs w:val="false"/>
          <w:i/>
          <w:iCs/>
          <w:sz w:val="22"/>
          <w:szCs w:val="22"/>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3: חנאן אבו סביח</w:t>
      </w:r>
    </w:p>
    <w:p>
      <w:pPr>
        <w:keepNext/>
        <w:bidi/>
        <w:spacing w:after="120" w:before="0" w:line="360" w:lineRule="auto"/>
        <w:jc w:val="right"/>
      </w:pPr>
      <w:r>
        <w:rPr>
          <w:rFonts w:ascii="David" w:cs="David" w:eastAsia="David" w:hAnsi="David"/>
          <w:b w:val="false"/>
          <w:bCs w:val="false"/>
          <w:i/>
          <w:iCs/>
          <w:sz w:val="22"/>
          <w:szCs w:val="22"/>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4: איבתיסאם דאהר</w:t>
      </w:r>
    </w:p>
    <w:p>
      <w:pPr>
        <w:keepNext/>
        <w:bidi/>
        <w:spacing w:after="120" w:before="0" w:line="360" w:lineRule="auto"/>
        <w:jc w:val="right"/>
      </w:pPr>
      <w:r>
        <w:rPr>
          <w:rFonts w:ascii="David" w:cs="David" w:eastAsia="David" w:hAnsi="David"/>
          <w:b w:val="false"/>
          <w:bCs w:val="false"/>
          <w:i/>
          <w:iCs/>
          <w:sz w:val="22"/>
          <w:szCs w:val="22"/>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5: סועאד זועבי</w:t>
      </w:r>
    </w:p>
    <w:p>
      <w:pPr>
        <w:keepNext/>
        <w:bidi/>
        <w:spacing w:after="120" w:before="0" w:line="360" w:lineRule="auto"/>
        <w:jc w:val="right"/>
      </w:pPr>
      <w:r>
        <w:rPr>
          <w:rFonts w:ascii="David" w:cs="David" w:eastAsia="David" w:hAnsi="David"/>
          <w:b w:val="false"/>
          <w:bCs w:val="false"/>
          <w:i/>
          <w:iCs/>
          <w:sz w:val="22"/>
          <w:szCs w:val="22"/>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6: ג'ולייט חורי</w:t>
      </w:r>
    </w:p>
    <w:p>
      <w:pPr>
        <w:keepNext/>
        <w:bidi/>
        <w:spacing w:after="120" w:before="0" w:line="360" w:lineRule="auto"/>
        <w:jc w:val="right"/>
      </w:pPr>
      <w:r>
        <w:rPr>
          <w:rFonts w:ascii="David" w:cs="David" w:eastAsia="David" w:hAnsi="David"/>
          <w:b w:val="false"/>
          <w:bCs w:val="false"/>
          <w:i/>
          <w:iCs/>
          <w:sz w:val="22"/>
          <w:szCs w:val="22"/>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7: נאדיה חלבי</w:t>
      </w:r>
    </w:p>
    <w:p>
      <w:pPr>
        <w:keepNext/>
        <w:bidi/>
        <w:spacing w:after="120" w:before="0" w:line="360" w:lineRule="auto"/>
        <w:jc w:val="right"/>
      </w:pPr>
      <w:r>
        <w:rPr>
          <w:rFonts w:ascii="David" w:cs="David" w:eastAsia="David" w:hAnsi="David"/>
          <w:b w:val="false"/>
          <w:bCs w:val="false"/>
          <w:i/>
          <w:iCs/>
          <w:sz w:val="22"/>
          <w:szCs w:val="22"/>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20" w:before="0" w:line="36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8: פאטמה אבו קווידר</w:t>
      </w:r>
    </w:p>
    <w:p>
      <w:pPr>
        <w:keepNext/>
        <w:bidi/>
        <w:spacing w:after="120" w:before="0" w:line="360" w:lineRule="auto"/>
        <w:jc w:val="right"/>
      </w:pPr>
      <w:r>
        <w:rPr>
          <w:rFonts w:ascii="David" w:cs="David" w:eastAsia="David" w:hAnsi="David"/>
          <w:b w:val="false"/>
          <w:bCs w:val="false"/>
          <w:i/>
          <w:iCs/>
          <w:sz w:val="22"/>
          <w:szCs w:val="22"/>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9: אמל סרחאן</w:t>
      </w:r>
    </w:p>
    <w:p>
      <w:pPr>
        <w:keepNext/>
        <w:bidi/>
        <w:spacing w:after="120" w:before="0" w:line="360" w:lineRule="auto"/>
        <w:jc w:val="right"/>
      </w:pPr>
      <w:r>
        <w:rPr>
          <w:rFonts w:ascii="David" w:cs="David" w:eastAsia="David" w:hAnsi="David"/>
          <w:b w:val="false"/>
          <w:bCs w:val="false"/>
          <w:i/>
          <w:iCs/>
          <w:sz w:val="22"/>
          <w:szCs w:val="22"/>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10: הודא מנסור</w:t>
      </w:r>
    </w:p>
    <w:p>
      <w:pPr>
        <w:keepNext/>
        <w:bidi/>
        <w:spacing w:after="120" w:before="0" w:line="360" w:lineRule="auto"/>
        <w:jc w:val="right"/>
      </w:pPr>
      <w:r>
        <w:rPr>
          <w:rFonts w:ascii="David" w:cs="David" w:eastAsia="David" w:hAnsi="David"/>
          <w:b w:val="false"/>
          <w:bCs w:val="false"/>
          <w:i/>
          <w:iCs/>
          <w:sz w:val="22"/>
          <w:szCs w:val="22"/>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11: סמאח דיאב</w:t>
      </w:r>
    </w:p>
    <w:p>
      <w:pPr>
        <w:keepNext/>
        <w:bidi/>
        <w:spacing w:after="120" w:before="0" w:line="360" w:lineRule="auto"/>
        <w:jc w:val="right"/>
      </w:pPr>
      <w:r>
        <w:rPr>
          <w:rFonts w:ascii="David" w:cs="David" w:eastAsia="David" w:hAnsi="David"/>
          <w:b w:val="false"/>
          <w:bCs w:val="false"/>
          <w:i/>
          <w:iCs/>
          <w:sz w:val="22"/>
          <w:szCs w:val="22"/>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12: רימא נאסר</w:t>
      </w:r>
    </w:p>
    <w:p>
      <w:pPr>
        <w:keepNext/>
        <w:bidi/>
        <w:spacing w:after="120" w:before="0" w:line="360" w:lineRule="auto"/>
        <w:jc w:val="right"/>
      </w:pPr>
      <w:r>
        <w:rPr>
          <w:rFonts w:ascii="David" w:cs="David" w:eastAsia="David" w:hAnsi="David"/>
          <w:b w:val="false"/>
          <w:bCs w:val="false"/>
          <w:i/>
          <w:iCs/>
          <w:sz w:val="22"/>
          <w:szCs w:val="22"/>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2026-08-25T17:52:33.350Z</dcterms:created>
  <dcterms:modified xsi:type="dcterms:W3CDTF">2026-08-25T17:52:33.350Z</dcterms:modified>
</cp:coreProperties>
</file>

<file path=docProps/custom.xml><?xml version="1.0" encoding="utf-8"?>
<Properties xmlns="http://schemas.openxmlformats.org/officeDocument/2006/custom-properties" xmlns:vt="http://schemas.openxmlformats.org/officeDocument/2006/docPropsVTypes"/>
</file>