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line="360" w:lineRule="auto"/>
        <w:jc w:val="both"/>
      </w:pPr>
      <w:r>
        <w:rPr>
          <w:rFonts w:ascii="David" w:cs="David" w:eastAsia="David" w:hAnsi="David"/>
          <w:sz w:val="24"/>
          <w:szCs w:val="24"/>
          <w:rtl/>
        </w:rPr>
        <w:t xml:space="preserve"/>
      </w:r>
    </w:p>
    <w:p>
      <w:pPr>
        <w:bidi/>
        <w:spacing w:after="120" w:line="360" w:lineRule="auto"/>
        <w:jc w:val="both"/>
      </w:pPr>
      <w:r>
        <w:rPr>
          <w:rFonts w:ascii="David" w:cs="David" w:eastAsia="David" w:hAnsi="David"/>
          <w:sz w:val="24"/>
          <w:szCs w:val="24"/>
          <w:rtl/>
        </w:rPr>
        <w:t xml:space="preserve"/>
      </w:r>
    </w:p>
    <w:p>
      <w:pPr>
        <w:bidi/>
        <w:spacing w:after="120" w:line="360" w:lineRule="auto"/>
        <w:jc w:val="center"/>
      </w:pPr>
      <w:r>
        <w:rPr>
          <w:rFonts w:ascii="David" w:cs="David" w:eastAsia="David" w:hAnsi="David"/>
          <w:b/>
          <w:bCs/>
          <w:sz w:val="28"/>
          <w:szCs w:val="28"/>
          <w:rtl/>
        </w:rPr>
        <w:t xml:space="preserve">הקריה האקדמית אונו</w:t>
      </w:r>
    </w:p>
    <w:p>
      <w:pPr>
        <w:bidi/>
        <w:spacing w:after="120" w:line="360" w:lineRule="auto"/>
        <w:jc w:val="center"/>
      </w:pPr>
      <w:r>
        <w:rPr>
          <w:rFonts w:ascii="David" w:cs="David" w:eastAsia="David" w:hAnsi="David"/>
          <w:sz w:val="24"/>
          <w:szCs w:val="24"/>
          <w:rtl/>
        </w:rPr>
        <w:t xml:space="preserve">מבוא לסוציולוגיה בנתיב הכתיבה האקדמית</w:t>
      </w:r>
    </w:p>
    <w:p>
      <w:pPr>
        <w:bidi/>
        <w:spacing w:after="120" w:line="360" w:lineRule="auto"/>
        <w:jc w:val="center"/>
      </w:pPr>
      <w:r>
        <w:rPr>
          <w:rFonts w:ascii="David" w:cs="David" w:eastAsia="David" w:hAnsi="David"/>
          <w:sz w:val="24"/>
          <w:szCs w:val="24"/>
          <w:rtl/>
        </w:rPr>
        <w:t xml:space="preserve">מספר קורס: ________</w:t>
      </w:r>
    </w:p>
    <w:p>
      <w:pPr>
        <w:bidi/>
        <w:spacing w:after="120" w:line="360" w:lineRule="auto"/>
        <w:jc w:val="center"/>
      </w:pPr>
      <w:r>
        <w:rPr>
          <w:rFonts w:ascii="David" w:cs="David" w:eastAsia="David" w:hAnsi="David"/>
          <w:sz w:val="24"/>
          <w:szCs w:val="24"/>
          <w:rtl/>
        </w:rPr>
        <w:t xml:space="preserve">מרצה: ד"ר סוזי בן דורי</w:t>
      </w:r>
    </w:p>
    <w:p>
      <w:pPr>
        <w:bidi/>
        <w:spacing w:after="120" w:line="360" w:lineRule="auto"/>
        <w:jc w:val="both"/>
      </w:pPr>
      <w:r>
        <w:rPr>
          <w:rFonts w:ascii="David" w:cs="David" w:eastAsia="David" w:hAnsi="David"/>
          <w:sz w:val="24"/>
          <w:szCs w:val="24"/>
          <w:rtl/>
        </w:rPr>
        <w:t xml:space="preserve"/>
      </w:r>
    </w:p>
    <w:p>
      <w:pPr>
        <w:bidi/>
        <w:spacing w:after="120" w:line="360" w:lineRule="auto"/>
        <w:jc w:val="both"/>
      </w:pPr>
      <w:r>
        <w:rPr>
          <w:rFonts w:ascii="David" w:cs="David" w:eastAsia="David" w:hAnsi="David"/>
          <w:sz w:val="24"/>
          <w:szCs w:val="24"/>
          <w:rtl/>
        </w:rPr>
        <w:t xml:space="preserve"/>
      </w:r>
    </w:p>
    <w:p>
      <w:pPr>
        <w:bidi/>
        <w:spacing w:after="120" w:line="360" w:lineRule="auto"/>
        <w:jc w:val="both"/>
      </w:pPr>
      <w:r>
        <w:rPr>
          <w:rFonts w:ascii="David" w:cs="David" w:eastAsia="David" w:hAnsi="David"/>
          <w:sz w:val="24"/>
          <w:szCs w:val="24"/>
          <w:rtl/>
        </w:rPr>
        <w:t xml:space="preserve"/>
      </w:r>
    </w:p>
    <w:p>
      <w:pPr>
        <w:bidi/>
        <w:spacing w:after="120" w:line="360" w:lineRule="auto"/>
        <w:jc w:val="both"/>
      </w:pPr>
      <w:r>
        <w:rPr>
          <w:rFonts w:ascii="David" w:cs="David" w:eastAsia="David" w:hAnsi="David"/>
          <w:sz w:val="24"/>
          <w:szCs w:val="24"/>
          <w:rtl/>
        </w:rPr>
        <w:t xml:space="preserve"/>
      </w:r>
    </w:p>
    <w:p>
      <w:pPr>
        <w:bidi/>
        <w:spacing w:after="120" w:line="360" w:lineRule="auto"/>
        <w:jc w:val="both"/>
      </w:pPr>
      <w:r>
        <w:rPr>
          <w:rFonts w:ascii="David" w:cs="David" w:eastAsia="David" w:hAnsi="David"/>
          <w:sz w:val="24"/>
          <w:szCs w:val="24"/>
          <w:rtl/>
        </w:rPr>
        <w:t xml:space="preserve"/>
      </w:r>
    </w:p>
    <w:p>
      <w:pPr>
        <w:bidi/>
        <w:spacing w:after="120" w:line="360" w:lineRule="auto"/>
        <w:jc w:val="center"/>
      </w:pPr>
      <w:r>
        <w:rPr>
          <w:rFonts w:ascii="David" w:cs="David" w:eastAsia="David" w:hAnsi="David"/>
          <w:b/>
          <w:bCs/>
          <w:sz w:val="32"/>
          <w:szCs w:val="32"/>
          <w:rtl/>
        </w:rPr>
        <w:t xml:space="preserve">"רגילים לגמרי"</w:t>
      </w:r>
    </w:p>
    <w:p>
      <w:pPr>
        <w:bidi/>
        <w:spacing w:after="120" w:line="360" w:lineRule="auto"/>
        <w:jc w:val="center"/>
      </w:pPr>
      <w:r>
        <w:rPr>
          <w:rFonts w:ascii="David" w:cs="David" w:eastAsia="David" w:hAnsi="David"/>
          <w:b/>
          <w:bCs/>
          <w:sz w:val="28"/>
          <w:szCs w:val="28"/>
          <w:rtl/>
        </w:rPr>
        <w:t xml:space="preserve">התמודדות תלמידים אתיופים עם גזענות בישראל</w:t>
      </w:r>
    </w:p>
    <w:p>
      <w:pPr>
        <w:bidi/>
        <w:spacing w:after="120" w:line="360" w:lineRule="auto"/>
        <w:jc w:val="center"/>
      </w:pPr>
      <w:r>
        <w:rPr>
          <w:rFonts w:ascii="David" w:cs="David" w:eastAsia="David" w:hAnsi="David"/>
          <w:b/>
          <w:bCs/>
          <w:sz w:val="28"/>
          <w:szCs w:val="28"/>
          <w:rtl/>
        </w:rPr>
        <w:t xml:space="preserve">ניתוח סוציולוגי לאור שלוש הגישות הקלאסיות ותאוריות הריבוד</w:t>
      </w:r>
    </w:p>
    <w:p>
      <w:pPr>
        <w:bidi/>
        <w:spacing w:after="120" w:line="360" w:lineRule="auto"/>
        <w:jc w:val="both"/>
      </w:pPr>
      <w:r>
        <w:rPr>
          <w:rFonts w:ascii="David" w:cs="David" w:eastAsia="David" w:hAnsi="David"/>
          <w:sz w:val="24"/>
          <w:szCs w:val="24"/>
          <w:rtl/>
        </w:rPr>
        <w:t xml:space="preserve"/>
      </w:r>
    </w:p>
    <w:p>
      <w:pPr>
        <w:bidi/>
        <w:spacing w:after="120" w:line="360" w:lineRule="auto"/>
        <w:jc w:val="center"/>
      </w:pPr>
      <w:r>
        <w:rPr>
          <w:rFonts w:ascii="David" w:cs="David" w:eastAsia="David" w:hAnsi="David"/>
          <w:sz w:val="24"/>
          <w:szCs w:val="24"/>
          <w:rtl/>
        </w:rPr>
        <w:t xml:space="preserve">עבודת סיכום</w:t>
      </w:r>
    </w:p>
    <w:p>
      <w:pPr>
        <w:bidi/>
        <w:spacing w:after="120" w:line="360" w:lineRule="auto"/>
        <w:jc w:val="both"/>
      </w:pPr>
      <w:r>
        <w:rPr>
          <w:rFonts w:ascii="David" w:cs="David" w:eastAsia="David" w:hAnsi="David"/>
          <w:sz w:val="24"/>
          <w:szCs w:val="24"/>
          <w:rtl/>
        </w:rPr>
        <w:t xml:space="preserve"/>
      </w:r>
    </w:p>
    <w:p>
      <w:pPr>
        <w:bidi/>
        <w:spacing w:after="120" w:line="360" w:lineRule="auto"/>
        <w:jc w:val="both"/>
      </w:pPr>
      <w:r>
        <w:rPr>
          <w:rFonts w:ascii="David" w:cs="David" w:eastAsia="David" w:hAnsi="David"/>
          <w:sz w:val="24"/>
          <w:szCs w:val="24"/>
          <w:rtl/>
        </w:rPr>
        <w:t xml:space="preserve"/>
      </w:r>
    </w:p>
    <w:p>
      <w:pPr>
        <w:bidi/>
        <w:spacing w:after="120" w:line="360" w:lineRule="auto"/>
        <w:jc w:val="both"/>
      </w:pPr>
      <w:r>
        <w:rPr>
          <w:rFonts w:ascii="David" w:cs="David" w:eastAsia="David" w:hAnsi="David"/>
          <w:sz w:val="24"/>
          <w:szCs w:val="24"/>
          <w:rtl/>
        </w:rPr>
        <w:t xml:space="preserve"/>
      </w:r>
    </w:p>
    <w:p>
      <w:pPr>
        <w:bidi/>
        <w:spacing w:after="120" w:line="360" w:lineRule="auto"/>
        <w:jc w:val="both"/>
      </w:pPr>
      <w:r>
        <w:rPr>
          <w:rFonts w:ascii="David" w:cs="David" w:eastAsia="David" w:hAnsi="David"/>
          <w:sz w:val="24"/>
          <w:szCs w:val="24"/>
          <w:rtl/>
        </w:rPr>
        <w:t xml:space="preserve"/>
      </w:r>
    </w:p>
    <w:p>
      <w:pPr>
        <w:bidi/>
        <w:spacing w:after="120" w:line="360" w:lineRule="auto"/>
        <w:jc w:val="both"/>
      </w:pPr>
      <w:r>
        <w:rPr>
          <w:rFonts w:ascii="David" w:cs="David" w:eastAsia="David" w:hAnsi="David"/>
          <w:sz w:val="24"/>
          <w:szCs w:val="24"/>
          <w:rtl/>
        </w:rPr>
        <w:t xml:space="preserve"/>
      </w:r>
    </w:p>
    <w:p>
      <w:pPr>
        <w:bidi/>
        <w:spacing w:after="120" w:line="360" w:lineRule="auto"/>
        <w:jc w:val="both"/>
      </w:pPr>
      <w:r>
        <w:rPr>
          <w:rFonts w:ascii="David" w:cs="David" w:eastAsia="David" w:hAnsi="David"/>
          <w:sz w:val="24"/>
          <w:szCs w:val="24"/>
          <w:rtl/>
        </w:rPr>
        <w:t xml:space="preserve"/>
      </w:r>
    </w:p>
    <w:p>
      <w:pPr>
        <w:bidi/>
        <w:spacing w:after="120" w:line="360" w:lineRule="auto"/>
        <w:jc w:val="center"/>
      </w:pPr>
      <w:r>
        <w:rPr>
          <w:rFonts w:ascii="David" w:cs="David" w:eastAsia="David" w:hAnsi="David"/>
          <w:sz w:val="24"/>
          <w:szCs w:val="24"/>
          <w:rtl/>
        </w:rPr>
        <w:t xml:space="preserve">מגיש: רביע אלטורי</w:t>
      </w:r>
    </w:p>
    <w:p>
      <w:pPr>
        <w:bidi/>
        <w:spacing w:after="120" w:line="360" w:lineRule="auto"/>
        <w:jc w:val="center"/>
      </w:pPr>
      <w:r>
        <w:rPr>
          <w:rFonts w:ascii="David" w:cs="David" w:eastAsia="David" w:hAnsi="David"/>
          <w:sz w:val="24"/>
          <w:szCs w:val="24"/>
          <w:rtl/>
        </w:rPr>
        <w:t xml:space="preserve">תעודת זהות: 209529783</w:t>
      </w:r>
    </w:p>
    <w:p>
      <w:pPr>
        <w:bidi/>
        <w:spacing w:after="120" w:line="360" w:lineRule="auto"/>
        <w:jc w:val="both"/>
      </w:pPr>
      <w:r>
        <w:rPr>
          <w:rFonts w:ascii="David" w:cs="David" w:eastAsia="David" w:hAnsi="David"/>
          <w:sz w:val="24"/>
          <w:szCs w:val="24"/>
          <w:rtl/>
        </w:rPr>
        <w:t xml:space="preserve"/>
      </w:r>
    </w:p>
    <w:p>
      <w:pPr>
        <w:bidi/>
        <w:spacing w:after="120" w:line="360" w:lineRule="auto"/>
        <w:jc w:val="center"/>
      </w:pPr>
      <w:r>
        <w:rPr>
          <w:rFonts w:ascii="David" w:cs="David" w:eastAsia="David" w:hAnsi="David"/>
          <w:sz w:val="24"/>
          <w:szCs w:val="24"/>
          <w:rtl/>
        </w:rPr>
        <w:t xml:space="preserve">ב' בתשרי תשפ"ז, 13 בספטמבר 2026</w:t>
      </w:r>
    </w:p>
    <w:p>
      <w:pPr>
        <w:pStyle w:val="Heading1"/>
        <w:pageBreakBefore/>
        <w:bidi/>
        <w:spacing w:after="240" w:before="0" w:line="360" w:lineRule="auto"/>
        <w:jc w:val="right"/>
      </w:pPr>
      <w:r>
        <w:rPr>
          <w:rFonts w:ascii="David" w:cs="David" w:eastAsia="David" w:hAnsi="David"/>
          <w:b/>
          <w:bCs/>
          <w:sz w:val="32"/>
          <w:szCs w:val="32"/>
          <w:rtl/>
        </w:rPr>
        <w:t xml:space="preserve">תוכן עניינים</w:t>
      </w:r>
    </w:p>
    <w:sdt>
      <w:sdtPr>
        <w:alias w:val="תוכן עניינים"/>
      </w:sdtPr>
      <w:sdtContent>
        <w:p>
          <w:r>
            <w:fldChar w:fldCharType="begin" w:dirty="true"/>
            <w:instrText xml:space="preserve">TOC \h \o "1-2"</w:instrText>
            <w:fldChar w:fldCharType="separate"/>
          </w:r>
        </w:p>
        <w:p>
          <w:r>
            <w:fldChar w:fldCharType="end"/>
          </w:r>
        </w:p>
      </w:sdtContent>
    </w:sdt>
    <w:p>
      <w:pPr>
        <w:pStyle w:val="Heading1"/>
        <w:pageBreakBefore/>
        <w:bidi/>
        <w:spacing w:after="240" w:before="0" w:line="360" w:lineRule="auto"/>
        <w:jc w:val="right"/>
      </w:pPr>
      <w:r>
        <w:rPr>
          <w:rFonts w:ascii="David" w:cs="David" w:eastAsia="David" w:hAnsi="David"/>
          <w:b/>
          <w:bCs/>
          <w:sz w:val="32"/>
          <w:szCs w:val="32"/>
          <w:rtl/>
        </w:rPr>
        <w:t xml:space="preserve">מבוא</w:t>
      </w:r>
    </w:p>
    <w:p>
      <w:pPr>
        <w:bidi/>
        <w:spacing w:after="120" w:line="360" w:lineRule="auto"/>
        <w:jc w:val="both"/>
      </w:pPr>
      <w:r>
        <w:rPr>
          <w:rFonts w:ascii="David" w:cs="David" w:eastAsia="David" w:hAnsi="David"/>
          <w:sz w:val="24"/>
          <w:szCs w:val="24"/>
          <w:rtl/>
        </w:rPr>
        <w:t xml:space="preserve">מאמרה של שולה מולא (2018) מביא את קולותיהם של עשרים תלמידים ותלמידות ממוצא אתיופי הלומדים בבתי ספר תיכוניים דתיים בירושלים, ומראה כיצד הם מתמודדים עם יחס גזעני באמצעות חתירה יומיומית להיות "רגילים", כלומר יהודים, ישראלים ובמידת האפשר גם לבנים. הממצא הזה פשוט לניסוח וקשה להסבר. מדוע נערה בת שבע עשרה משקיעה את מרצה בלהיראות כמו כולם? מי מרוויח מכך שהיא עושה זאת? ומה תפקידו של בית הספר בסיפור הזה?</w:t>
      </w:r>
    </w:p>
    <w:p>
      <w:pPr>
        <w:bidi/>
        <w:spacing w:after="120" w:line="360" w:lineRule="auto"/>
        <w:jc w:val="both"/>
      </w:pPr>
      <w:r>
        <w:rPr>
          <w:rFonts w:ascii="David" w:cs="David" w:eastAsia="David" w:hAnsi="David"/>
          <w:sz w:val="24"/>
          <w:szCs w:val="24"/>
          <w:rtl/>
        </w:rPr>
        <w:t xml:space="preserve">שלוש השאלות האלה אינן מקריות. הן משקפות את שלוש נקודות המבט הקלאסיות שנלמדו בקורס: גישת האינטראקציה הסימבולית, השואלת מי האנשים בסיטואציה ואיזו פרשנות הם נותנים לסמלים; גישת הקונפליקט, השואלת לאן הולכים המשאבים ומי נהנה מהם; והגישה הפונקציונליסטית, השואלת מה תפקידו של המוסד החברתי וכיצד התופעה תורמת לסדר החברתי. לצידן עומדות תאוריות הריבוד שנלמדו בהמשך הקורס, ובראשן סוגי ההון וההביטוס של בורדייה, שלושת המשאבים של ובר ועקרונות הצדק של רולס.</w:t>
      </w:r>
    </w:p>
    <w:p>
      <w:pPr>
        <w:bidi/>
        <w:spacing w:after="120" w:line="360" w:lineRule="auto"/>
        <w:jc w:val="both"/>
      </w:pPr>
      <w:r>
        <w:rPr>
          <w:rFonts w:ascii="David" w:cs="David" w:eastAsia="David" w:hAnsi="David"/>
          <w:sz w:val="24"/>
          <w:szCs w:val="24"/>
          <w:rtl/>
        </w:rPr>
        <w:t xml:space="preserve">מטרת העבודה היא לבחון את ממצאי המאמר דרך שלוש הגישות, לזהות מה כל אחת מהן מאירה ומה היא מחמיצה, ולגזור מכך המלצות מעשיות לאנשי חינוך. שאלת העבודה מנוסחת כך: כיצד מסבירה כל אחת משלוש הגישות הסוציולוגיות את אסטרטגיית ה"רגילות" של התלמידים האתיופים, ומה מוסיפות תאוריות הריבוד להסבר זה?</w:t>
      </w:r>
    </w:p>
    <w:p>
      <w:pPr>
        <w:bidi/>
        <w:spacing w:after="120" w:line="360" w:lineRule="auto"/>
        <w:jc w:val="both"/>
      </w:pPr>
      <w:r>
        <w:rPr>
          <w:rFonts w:ascii="David" w:cs="David" w:eastAsia="David" w:hAnsi="David"/>
          <w:sz w:val="24"/>
          <w:szCs w:val="24"/>
          <w:rtl/>
        </w:rPr>
        <w:t xml:space="preserve">העבודה בנויה מארבעה פרקים. הפרק הראשון מציג את המאמר, את שיטת המחקר ואת ממצאיו. הפרק השני מנתח את הממצאים לאור שלוש הגישות, גישה אחר גישה. הפרק השלישי משווה בין הגישות ובוחן את הצטלבות צירי אי השוויון במקרה הנחקר. הסיכום חוזר אל שאלת העבודה ומציע צעדים יישומיים. המקור שהעבודה נשענת עליו הוא המאמר עצמו, ובמקומות שבהם מובאים מושגים ותאורטיקנים מתוך שיעורי הקורס צוין הדבר במפורש בגוף הטקסט.</w:t>
      </w:r>
    </w:p>
    <w:p>
      <w:pPr>
        <w:pStyle w:val="Heading1"/>
        <w:pageBreakBefore/>
        <w:bidi/>
        <w:spacing w:after="240" w:before="0" w:line="360" w:lineRule="auto"/>
        <w:jc w:val="right"/>
      </w:pPr>
      <w:r>
        <w:rPr>
          <w:rFonts w:ascii="David" w:cs="David" w:eastAsia="David" w:hAnsi="David"/>
          <w:b/>
          <w:bCs/>
          <w:sz w:val="32"/>
          <w:szCs w:val="32"/>
          <w:rtl/>
        </w:rPr>
        <w:t xml:space="preserve">פרק א: המאמר, שיטת המחקר ועיקרי הממצאים</w:t>
      </w:r>
    </w:p>
    <w:p>
      <w:pPr>
        <w:bidi/>
        <w:spacing w:after="120" w:line="360" w:lineRule="auto"/>
        <w:jc w:val="both"/>
      </w:pPr>
      <w:r>
        <w:rPr>
          <w:rFonts w:ascii="David" w:cs="David" w:eastAsia="David" w:hAnsi="David"/>
          <w:sz w:val="24"/>
          <w:szCs w:val="24"/>
          <w:rtl/>
        </w:rPr>
        <w:t xml:space="preserve">המאמר "אני רגילה לגמרי" פורסם בכתב העת גילוי דעת בשנת 2018, והוא פיתוח של עבודת תזה שנכתבה באוניברסיטה העברית. נקודת המוצא שלו היא ההגדרה הסוציולוגית של גזע כהבניה חברתית ולא כעובדה ביולוגית, והוא נשען על תאוריית הגזע הביקורתית, שלפיה חשיפת יחסי הכוח המעניקים לאדם הלבן יתרון אוטומטי היא צעד ראשון לשינוי חברתי. מולא מבחינה בין מחקרה לבין רוב המחקרים הקודמים על תלמידים אתיופים, שיצאו מפרדיגמה פסיכולוגית ומיקמו את הבעיה ואת פתרונה אצל הפרט, ולא במנגנונים החברתיים (מולא, 2018).</w:t>
      </w:r>
    </w:p>
    <w:p>
      <w:pPr>
        <w:bidi/>
        <w:spacing w:after="120" w:line="360" w:lineRule="auto"/>
        <w:jc w:val="both"/>
      </w:pPr>
      <w:r>
        <w:rPr>
          <w:rFonts w:ascii="David" w:cs="David" w:eastAsia="David" w:hAnsi="David"/>
          <w:sz w:val="24"/>
          <w:szCs w:val="24"/>
          <w:rtl/>
        </w:rPr>
        <w:t xml:space="preserve">המחקר איכותני ופרשני. הוא מבוסס על ראיונות עומק מובנים למחצה עם עשרים תלמידים, שישה בנים וארבע עשרה בנות, מכיתות ט' עד י"ב, בחמישה בתי ספר של החינוך הממלכתי דתי בירושלים: בית ספר דתי פלורליסטי שבו לימדה החוקרת, שני בתי ספר מקצועיים בשכונות מוחלשות ושתי אולפנות. המרואיינים גויסו בשיטת כדור השלג, שמותיהם שונו, והראיונות נערכו מחוץ לבית הספר, רובם בעברית ומיעוטם באמהרית. מולא מקדישה דיון נרחב למיקומה כחוקרת מבפנים ומבחוץ בעת ובעונה אחת: היא חולקת עם המרואיינים צבע עור והיסטוריה של הגירה, אך נבדלת מהם בגיל, במעמד ובסמכותה כמורה. היא מתארת גם את התסכול בראיונות הראשונים, שבהם התלמידים ענו ב"כן" ו"לא", ואת השינוי שחל כשוויתרה על מכשיר ההקלטה בפתיחת השיחה ולא הזכירה את המילה גזענות (מולא, 2018).</w:t>
      </w:r>
    </w:p>
    <w:p>
      <w:pPr>
        <w:bidi/>
        <w:spacing w:after="120" w:line="360" w:lineRule="auto"/>
        <w:jc w:val="both"/>
      </w:pPr>
      <w:r>
        <w:rPr>
          <w:rFonts w:ascii="David" w:cs="David" w:eastAsia="David" w:hAnsi="David"/>
          <w:sz w:val="24"/>
          <w:szCs w:val="24"/>
          <w:rtl/>
        </w:rPr>
        <w:t xml:space="preserve">הממצא המרכזי הוא החזרה העקבית על המילים "רגיל" ו"כמו כולם". הרגילות, כפי שמולא מפרשת אותה, נשענת על שלושה עוגני זהות שיש ביניהם חפיפה: יהודיות, ישראליות ולבנות. בתחום היהודיות התלמידים מדגישים את נרטיב המוצא המשותף, כמו מריטו שעונה בכעס על השאלה מדוע עלתה משפחתה, ומקפידים על כללי המשחק הדתיים, גם כשאינם מזדהים עימם. אברו אומרת במפורש שהיא "משחקת לפי הכללים" כדי לא להיפלט מבית הספר. בתחום הישראליות בולט עניין השמות: אלי סירב תחילה לחשוף את שמו האמהרי אסממאו, שפירושו "עושה שלום", והמורה במרכז הקליטה היא שנתנה לו את השם החדש. יונה בוחר חברים לבנים בלבד, מקפיד לדבר עברית ללא מבטא ומסרב לקבל עזרה בלימודים כדי להוכיח למוריו שהוא שונה משאר האתיופים. בתחום הלבנות התלמידים משחקים בצבע: מריטו מתארת את רגליה כ"אדומות" ואפילו "אפורות", ואברו מגדירה את עצמה "חומה", לא שחורה ולא לבנה (מולא, 2018).</w:t>
      </w:r>
    </w:p>
    <w:p>
      <w:pPr>
        <w:bidi/>
        <w:spacing w:after="120" w:line="360" w:lineRule="auto"/>
        <w:jc w:val="both"/>
      </w:pPr>
      <w:r>
        <w:rPr>
          <w:rFonts w:ascii="David" w:cs="David" w:eastAsia="David" w:hAnsi="David"/>
          <w:sz w:val="24"/>
          <w:szCs w:val="24"/>
          <w:rtl/>
        </w:rPr>
        <w:t xml:space="preserve">מסקנת המאמר מופנית למורים. מולא טוענת שהאחריות לשינוי הדינמיקה של ההדרה מוטלת על המבוגרים ולא על התלמידים, ושלהיות "רגיל" פירושו, במקרה הזה, להפסיק להיות מי שאתה. היא קוראת למורים להתבוננות רפלקטיבית וליצירת מרחב כיתתי דיאלוגי, ומציעה כיווני מחקר המשך, ובהם ראיון חוזר עם אותם תלמידים לאחר השירות הצבאי והשוואה לתלמידים ממוצא רוסי וקווקזי (מולא, 2018).</w:t>
      </w:r>
    </w:p>
    <w:p>
      <w:pPr>
        <w:pStyle w:val="Heading1"/>
        <w:pageBreakBefore/>
        <w:bidi/>
        <w:spacing w:after="240" w:before="0" w:line="360" w:lineRule="auto"/>
        <w:jc w:val="right"/>
      </w:pPr>
      <w:r>
        <w:rPr>
          <w:rFonts w:ascii="David" w:cs="David" w:eastAsia="David" w:hAnsi="David"/>
          <w:b/>
          <w:bCs/>
          <w:sz w:val="32"/>
          <w:szCs w:val="32"/>
          <w:rtl/>
        </w:rPr>
        <w:t xml:space="preserve">פרק ב: ניתוח הממצאים לאור שלוש הגישות</w:t>
      </w:r>
    </w:p>
    <w:p>
      <w:pPr>
        <w:pStyle w:val="Heading2"/>
        <w:bidi/>
        <w:spacing w:after="120" w:before="240" w:line="360" w:lineRule="auto"/>
        <w:jc w:val="right"/>
      </w:pPr>
      <w:r>
        <w:rPr>
          <w:rFonts w:ascii="David" w:cs="David" w:eastAsia="David" w:hAnsi="David"/>
          <w:b/>
          <w:bCs/>
          <w:sz w:val="26"/>
          <w:szCs w:val="26"/>
          <w:rtl/>
        </w:rPr>
        <w:t xml:space="preserve">ב.1 גישת האינטראקציה הסימבולית</w:t>
      </w:r>
    </w:p>
    <w:p>
      <w:pPr>
        <w:bidi/>
        <w:spacing w:after="120" w:line="360" w:lineRule="auto"/>
        <w:jc w:val="both"/>
      </w:pPr>
      <w:r>
        <w:rPr>
          <w:rFonts w:ascii="David" w:cs="David" w:eastAsia="David" w:hAnsi="David"/>
          <w:sz w:val="24"/>
          <w:szCs w:val="24"/>
          <w:rtl/>
        </w:rPr>
        <w:t xml:space="preserve">גישת האינטראקציה הסימבולית מציבה במרכז לא את המבנה החברתי אלא את המפגש פנים אל פנים, את הסמלים שעוברים בו ואת הפרשנות שהמשתתפים נותנים להם. הנחת היסוד היא שהאדם מכונן את החברה דרך אינטראקציות יומיומיות, ושגם לפרט יש כוח לפרש, לעצב ולשנות את המציאות, כפי שנלמד בקורס. המאמר של מולא הוא כמעט ספר לימוד לגישה הזאת, שכן החומר שלו הוא ראיונות על חיי היומיום בכיתה, בהפסקה ובבית.</w:t>
      </w:r>
    </w:p>
    <w:p>
      <w:pPr>
        <w:bidi/>
        <w:spacing w:after="120" w:line="360" w:lineRule="auto"/>
        <w:jc w:val="both"/>
      </w:pPr>
      <w:r>
        <w:rPr>
          <w:rFonts w:ascii="David" w:cs="David" w:eastAsia="David" w:hAnsi="David"/>
          <w:sz w:val="24"/>
          <w:szCs w:val="24"/>
          <w:rtl/>
        </w:rPr>
        <w:t xml:space="preserve">הסמל הראשון והבולט הוא צבע העור. במונחי הקורס, צבע העור הוא מיצב שיוכי, סטטוס שיש לאדם בלי שביצע פעולה כלשהי, והוא פועל כסמל סטטוס שמוסר מידע מיידי על האדם עוד לפני שפתח את פיו. מסמל הסטטוס נגזר דימוי סטטוס, כלומר ההנחה שסטטוס אחד מעיד על סטטוסים נוספים, ומצירוף דימויי הסטטוס עם תכונות אישיות נבנה הסטריאוטיפ. כך בדיוק מתארת מולא את מה שקרה לאורלי: מאחר שהאתיופים נתפסים כשקטים ומופנמים, שובבותה של אורלי נקראה לא כנמרצות אלא כהפרעה, והמורה הציעה לה ריטלין. אורלי עצמה מנסחת את הבעיה בדיוק סוציולוגי: "לא היו מזהים אותי אם לא היה לי את הצבע הזה" (מולא, 2018, עמ' 23).</w:t>
      </w:r>
    </w:p>
    <w:p>
      <w:pPr>
        <w:bidi/>
        <w:spacing w:after="120" w:line="360" w:lineRule="auto"/>
        <w:jc w:val="both"/>
      </w:pPr>
      <w:r>
        <w:rPr>
          <w:rFonts w:ascii="David" w:cs="David" w:eastAsia="David" w:hAnsi="David"/>
          <w:sz w:val="24"/>
          <w:szCs w:val="24"/>
          <w:rtl/>
        </w:rPr>
        <w:t xml:space="preserve">מול הסמל שאי אפשר להסיר עומד ניהול הרושם. גופמן, כפי שנלמד בקורס, הבחין בין פעולות מודעות שבהן האדם "עושה רושם", בעיקר בדיבור, לבין פעולות לא מודעות שבהן הוא "מפיץ רושם", כמו שפת גוף ואינטונציה. משום שכל המשתתפים באינטראקציה מנהלים רושם, הגדרת המצב נמצאת במשא ומתן מתמיד. האסטרטגיה של יונה היא ניהול רושם אינטנסיבי: עברית בלי מבטא, השתתפות פעילה בשיעורי גמרא ולשון, סירוב לעזרה בלימודים ואפילו הצגת אי ידיעת האמהרית כהוכחה לישראליות. במילותיו, "אני מראה לו לאט־לאט שאני לא שונה" (מולא, 2018, עמ' 30). הצבע מפיץ רושם שיונה אינו שולט בו, ולכן הוא מגייס כל אמצעי אחר כדי לעשות רושם נגדי.</w:t>
      </w:r>
    </w:p>
    <w:p>
      <w:pPr>
        <w:bidi/>
        <w:spacing w:after="120" w:line="360" w:lineRule="auto"/>
        <w:jc w:val="both"/>
      </w:pPr>
      <w:r>
        <w:rPr>
          <w:rFonts w:ascii="David" w:cs="David" w:eastAsia="David" w:hAnsi="David"/>
          <w:sz w:val="24"/>
          <w:szCs w:val="24"/>
          <w:rtl/>
        </w:rPr>
        <w:t xml:space="preserve">מושג הסטיגמה של גופמן, שמולא נשענת עליו, מסביר את כיוון התנועה. המעבר (passing) הוא תמיד חד כיווני, מזהות המיעוט הסובלת מסטיגמה אל זהות הרוב הלגיטימית (גופמן, 1983, כפי שמצוטט אצל מולא, 2018). התלמידים אינם מנסים להפוך את הלבנים לאתיופים. הם מנסים להיות, כדברי מולא, "פחות שחורים".</w:t>
      </w:r>
    </w:p>
    <w:p>
      <w:pPr>
        <w:bidi/>
        <w:spacing w:after="120" w:line="360" w:lineRule="auto"/>
        <w:jc w:val="both"/>
      </w:pPr>
      <w:r>
        <w:rPr>
          <w:rFonts w:ascii="David" w:cs="David" w:eastAsia="David" w:hAnsi="David"/>
          <w:sz w:val="24"/>
          <w:szCs w:val="24"/>
          <w:rtl/>
        </w:rPr>
        <w:t xml:space="preserve">השמות הם סמל שני. שם פרטי הוא סימן שמעביר מסר של זהות ושייכות, ממש כמו בגד או כיפה, כפי שנלמד בקורס. המרת השם אסממאו בשם אלי, שנעשתה ביוזמת מורה במרכז הקליטה, היא רגע שבו המוסד מכתיב את הסמל שהתלמיד יישא בכל אינטראקציה עתידית. מולא מוסיפה שבמסורת האתיופית לילד כמה שמות, שכל אחד מהם ניתן על ידי בן משפחה אחר ונושא משמעות מנסיבות הלידה, כך שהמעבר לשם עברי יחיד הוא ויתור על חוויה אינטימית ולא רק שינוי טכני (מולא, 2018).</w:t>
      </w:r>
    </w:p>
    <w:p>
      <w:pPr>
        <w:bidi/>
        <w:spacing w:after="120" w:line="360" w:lineRule="auto"/>
        <w:jc w:val="both"/>
      </w:pPr>
      <w:r>
        <w:rPr>
          <w:rFonts w:ascii="David" w:cs="David" w:eastAsia="David" w:hAnsi="David"/>
          <w:sz w:val="24"/>
          <w:szCs w:val="24"/>
          <w:rtl/>
        </w:rPr>
        <w:t xml:space="preserve">הגישה מסבירה גם את הדימוי העצמי. קולי, כפי שנלמד בקורס, טען שהאדם הוא מה שהוא חושב שאחרים חושבים שהוא, וקרא לכך "האני במראה". אברו מייחסת לאתיופים כקבוצה תלותיות, עצלנות ורכלנות, ומתארת את עצמה כגמישה ופתוחה, כלומר כניגוד שלהם. מולא מעירה שאברו שבויה בסטריאוטיפים המיוחסים לקבוצתה. במונחי קולי, אברו רואה את עצמה דרך המראה שהחברה הלבנה מציבה מולה, ומאמצת את הדימוי כדי להיבדל ממנו.</w:t>
      </w:r>
    </w:p>
    <w:p>
      <w:pPr>
        <w:bidi/>
        <w:spacing w:after="120" w:line="360" w:lineRule="auto"/>
        <w:jc w:val="both"/>
      </w:pPr>
      <w:r>
        <w:rPr>
          <w:rFonts w:ascii="David" w:cs="David" w:eastAsia="David" w:hAnsi="David"/>
          <w:sz w:val="24"/>
          <w:szCs w:val="24"/>
          <w:rtl/>
        </w:rPr>
        <w:t xml:space="preserve">לבסוף, קטגוריית ה"חום" שאברו ממציאה היא דוגמה להבניה חברתית בזמן אמת. ברגר ולקמן, כפי שנלמד בקורס, טענו שבמציאות האנושית אין דבר טבעי, ושבני אדם מעצבים את המציאות החברתית באמצעות החלטותיהם ומעשיהם. הדיכוטומיה שחור לבן אינה עובדה, אלא מציאות אינטרסובייקטיבית שמוסכמת על המשתתפים. כשאברו ומריטו מציעות גוני ביניים, אדום, אפור, חום, הן מנהלות משא ומתן על מערכת הסמלים עצמה, גם אם בכוחות מוגבלים. כאן נמצא הכוח של הגישה: היא מזהה את הפועלוּת (agency) של התלמידים ואינה רואה בהם קורבנות בלבד. וכאן גם גבולה, שכן היא אינה שואלת מדוע דווקא הלבן הוא הצד ה"נכון" של המגרש.</w:t>
      </w:r>
    </w:p>
    <w:p>
      <w:pPr>
        <w:pStyle w:val="Heading2"/>
        <w:bidi/>
        <w:spacing w:after="120" w:before="240" w:line="360" w:lineRule="auto"/>
        <w:jc w:val="right"/>
      </w:pPr>
      <w:r>
        <w:rPr>
          <w:rFonts w:ascii="David" w:cs="David" w:eastAsia="David" w:hAnsi="David"/>
          <w:b/>
          <w:bCs/>
          <w:sz w:val="26"/>
          <w:szCs w:val="26"/>
          <w:rtl/>
        </w:rPr>
        <w:t xml:space="preserve">ב.2 גישת הקונפליקט ותאוריות הריבוד</w:t>
      </w:r>
    </w:p>
    <w:p>
      <w:pPr>
        <w:bidi/>
        <w:spacing w:after="120" w:line="360" w:lineRule="auto"/>
        <w:jc w:val="both"/>
      </w:pPr>
      <w:r>
        <w:rPr>
          <w:rFonts w:ascii="David" w:cs="David" w:eastAsia="David" w:hAnsi="David"/>
          <w:sz w:val="24"/>
          <w:szCs w:val="24"/>
          <w:rtl/>
        </w:rPr>
        <w:t xml:space="preserve">גישת הקונפליקט רואה בחברה זירה של מאבק על משאבים וכוח, ושואלת להיכן הולכים המשאבים, מי נהנה מהם וכיצד אי השוויון בא לידי ביטוי, כפי שנלמד בקורס. מנקודת מבט זו, השאיפה לרגילות אינה בחירה תרבותית תמימה אלא תגובה רציונלית למבנה שבו הלבנות היא משאב. מולא אומרת זאת במפורש כשהיא נשענת על תאוריית הגזע הביקורתית: התלמידים מזהים את יחסי הכוח המקנים ללבן יתרון בשל צבע עורו, ופיתחו אסטרטגיה בהתאם (מולא, 2018).</w:t>
      </w:r>
    </w:p>
    <w:p>
      <w:pPr>
        <w:bidi/>
        <w:spacing w:after="120" w:line="360" w:lineRule="auto"/>
        <w:jc w:val="both"/>
      </w:pPr>
      <w:r>
        <w:rPr>
          <w:rFonts w:ascii="David" w:cs="David" w:eastAsia="David" w:hAnsi="David"/>
          <w:sz w:val="24"/>
          <w:szCs w:val="24"/>
          <w:rtl/>
        </w:rPr>
        <w:t xml:space="preserve">ובר, כפי שנלמד בקורס, הבחין בין שלושה סוגי משאבים: משאבים כלכליים היוצרים מעמד, יוקרה חברתית היוצרת סטטוס, ועוצמה פוליטית היוצרת כוח. המאמר מתעד חסר בכל שלושת הצירים. מבחינה כלכלית, עולי אתיופיה פוזרו בפריפריה החברתית והכלכלית של המדינה, אף שרשויות הקליטה הכירו בקשר בין מדיניות הדיור לחינוך ולתעסוקה. מבחינת יוקרה, הם מסומנים כזרים בעצם נראותם. ומבחינת כוח, ההחלטות עליהם, החל בגיור לחומרא וכלה בשם העברי, התקבלו על ידי ממסד שהם לא היו חלק ממנו (מולא, 2018).</w:t>
      </w:r>
    </w:p>
    <w:p>
      <w:pPr>
        <w:bidi/>
        <w:spacing w:after="120" w:line="360" w:lineRule="auto"/>
        <w:jc w:val="both"/>
      </w:pPr>
      <w:r>
        <w:rPr>
          <w:rFonts w:ascii="David" w:cs="David" w:eastAsia="David" w:hAnsi="David"/>
          <w:sz w:val="24"/>
          <w:szCs w:val="24"/>
          <w:rtl/>
        </w:rPr>
        <w:t xml:space="preserve">בורדייה, כפי שנלמד בקורס, מוסיף לניתוח שכבה מדויקת יותר. לדבריו, לא רק ההון הכלכלי קובע מעמד, אלא גם הון תרבותי בשלוש צורותיו, מגופן, חומרי וממוסד, והון חברתי של קשרים. ההון התרבותי מועבר בין הדורות באופן סמוי, ובית הספר מתגמל הון שכבר קיים אצל ילדי המעמד הבינוני והגבוה, ובכך מייצר אשליה של שוויון הזדמנויות. סיפורו של יונה ממחיש את ההמרה בין סוגי ההון: הוריו העובדים משלמים על שיעורים פרטיים, כלומר הון כלכלי שמומר להון תרבותי ממוסד, ויונה עצמו מציין את יכולת ההורים לסייע בלימודים כסימן לכך שהם "כמו הלבנים". גם החברים הלבנים שבאים אליו הביתה הם הון חברתי. מולא מציינת שיונה שונה מרוב שכניו, ושהשיפור במעמד משפחתו מאפשר לו "לשכוח לפעמים שהוא אתיופי" (מולא, 2018). הצבע לא השתנה. ההון כן.</w:t>
      </w:r>
    </w:p>
    <w:p>
      <w:pPr>
        <w:bidi/>
        <w:spacing w:after="120" w:line="360" w:lineRule="auto"/>
        <w:jc w:val="both"/>
      </w:pPr>
      <w:r>
        <w:rPr>
          <w:rFonts w:ascii="David" w:cs="David" w:eastAsia="David" w:hAnsi="David"/>
          <w:sz w:val="24"/>
          <w:szCs w:val="24"/>
          <w:rtl/>
        </w:rPr>
        <w:t xml:space="preserve">מושג ההביטוס מסביר את המחיר. ההביטוס, כפי שנלמד בקורס, הוא מערכת נטיות מופנמות שפועלת באופן לא מודע וקובעת מה "מרגיש טבעי". המשפט של אברו, "כשקמים אני קמה, כשיושבים אני יושבת, רגיל כזה" (מולא, 2018, עמ' 27), הוא תיאור של רכישת הביטוס בכוח. היא לומדת את הקודים של השדה הדתי הלאומי כדי לשרוד בו, אך היא יודעת שהם אינם שלה, ולכן ההביטוס נשאר מאמץ מתמיד ולא טבע שני. זה ההבדל בין מי שנולד לתוך השדה ובין מי שנכנס אליו מבחוץ.</w:t>
      </w:r>
    </w:p>
    <w:p>
      <w:pPr>
        <w:bidi/>
        <w:spacing w:after="120" w:line="360" w:lineRule="auto"/>
        <w:jc w:val="both"/>
      </w:pPr>
      <w:r>
        <w:rPr>
          <w:rFonts w:ascii="David" w:cs="David" w:eastAsia="David" w:hAnsi="David"/>
          <w:sz w:val="24"/>
          <w:szCs w:val="24"/>
          <w:rtl/>
        </w:rPr>
        <w:t xml:space="preserve">מכאן קצרה הדרך למושג האלימות הסימבולית, כפיית תרבותו של המעמד הדומיננטי כתרבות הלגיטימית היחידה, כפי שנלמד בקורס. המאמר מלא בדוגמאות: הדרישה לעברת שמות, שמולא מתארת כציות ל"אב" סמלי חדש; התניית תעודת העולה בקיום תרי"ג מצוות; והתיוג של תלמידים אתיופים כ"תת־הישגיים", תיוג שמקבע את האחריות למצב אצל התלמידים ולא אצל המערכת (מולא, 2018). הדוגמה האחרונה מתחברת ישירות למה שנלמד בקורס על מריטוקרטיה: האמונה שכישלון כלכלי או לימודי הוא אשמתו הבלעדית של הפרט היא סוג של תודעה כוזבת, ומה שהופך את המנגנון למושלם הוא הדיכוי העצמי של בני המעמדות הנמוכים. אברו, שאומרת שהיא רוצה "להראות שאני שווה משהו, שאני לא סתם", מפנימה בדיוק את הנחת המריטוקרטיה: אם תתאמץ מספיק, היא תצליח. המבנה שממיין אותה מראש לכיתה נפרדת נשאר בלתי נראה.</w:t>
      </w:r>
    </w:p>
    <w:p>
      <w:pPr>
        <w:bidi/>
        <w:spacing w:after="120" w:line="360" w:lineRule="auto"/>
        <w:jc w:val="both"/>
      </w:pPr>
      <w:r>
        <w:rPr>
          <w:rFonts w:ascii="David" w:cs="David" w:eastAsia="David" w:hAnsi="David"/>
          <w:sz w:val="24"/>
          <w:szCs w:val="24"/>
          <w:rtl/>
        </w:rPr>
        <w:t xml:space="preserve">מערכת החינוך, כפי שנלמד בקורס, נתפסת כמסלול למוביליות אך פועלת פעמים רבות כמנגנון של הלבנת אי שוויון, ומריטוקרטיה חינוכית היא סוג של אחיזת עיניים המובילה לשעתוק מעמדי. מולא מתעדת את השעתוק בפועל: המדיניות המוצהרת היא פיזור התלמידים בבתי ספר חזקים, ובפועל הם מרוכזים בבתי ספר מוחלשים, וגם כשהם משולבים בבית ספר עיוני הם מנותבים לכיתות חלשות נפרדות. זומה, שלמדה בכיתה של תלמידות אתיופיות בלבד, מספרת שהתפללה להגיע ל"כיתה רגילה בלי הבנות שלנו" (מולא, 2018, עמ' 34). ההפרדה היא לא רק פגיעה בהישגים. היא גם הופכת את החברה האתיופית עצמה לסמל של כישלון, שממנו רוצים לברוח.</w:t>
      </w:r>
    </w:p>
    <w:p>
      <w:pPr>
        <w:bidi/>
        <w:spacing w:after="120" w:line="360" w:lineRule="auto"/>
        <w:jc w:val="both"/>
      </w:pPr>
      <w:r>
        <w:rPr>
          <w:rFonts w:ascii="David" w:cs="David" w:eastAsia="David" w:hAnsi="David"/>
          <w:sz w:val="24"/>
          <w:szCs w:val="24"/>
          <w:rtl/>
        </w:rPr>
        <w:t xml:space="preserve">לבסוף, רולס, כפי שנלמד בקורס, מספק קנה מידה נורמטיבי. לפי עקרון ההפרש, אי שוויון כלכלי וחברתי מוצדק רק אם הוא פועל לטובת בני החברה שמצבם הגרוע ביותר, ובתנאי של שוויון הזדמנויות הוגן למשרות ולעמדות. המקרה של התלמידים האתיופים הוא היפוכו של העיקרון: המשאבים הדלים ביותר, בדיור, בבתי הספר ובציפיות המורים, מופנים דווקא לקבוצה שמצבה הגרוע ביותר. גישת הקונפליקט מסבירה אפוא היטב מדוע הרגילות היא הכיוון היחיד שנראה לתלמידים פתוח. חולשתה היא שהיא רואה בהם בעיקר תוצר של מבנה, ומתקשה להסביר את ההבדלים בין אברו החתרנית לזומה המשלימה.</w:t>
      </w:r>
    </w:p>
    <w:p>
      <w:pPr>
        <w:pStyle w:val="Heading2"/>
        <w:bidi/>
        <w:spacing w:after="120" w:before="240" w:line="360" w:lineRule="auto"/>
        <w:jc w:val="right"/>
      </w:pPr>
      <w:r>
        <w:rPr>
          <w:rFonts w:ascii="David" w:cs="David" w:eastAsia="David" w:hAnsi="David"/>
          <w:b/>
          <w:bCs/>
          <w:sz w:val="26"/>
          <w:szCs w:val="26"/>
          <w:rtl/>
        </w:rPr>
        <w:t xml:space="preserve">ב.3 הגישה הפונקציונליסטית</w:t>
      </w:r>
    </w:p>
    <w:p>
      <w:pPr>
        <w:bidi/>
        <w:spacing w:after="120" w:line="360" w:lineRule="auto"/>
        <w:jc w:val="both"/>
      </w:pPr>
      <w:r>
        <w:rPr>
          <w:rFonts w:ascii="David" w:cs="David" w:eastAsia="David" w:hAnsi="David"/>
          <w:sz w:val="24"/>
          <w:szCs w:val="24"/>
          <w:rtl/>
        </w:rPr>
        <w:t xml:space="preserve">הגישה הפונקציונליסטית רואה בחברה מערכת מורכבת שכל חלקיה פועלים יחד לקידום הסולידריות, הלכידות והיציבות, ושואלת מה תפקידו של המוסד החברתי וכיצד התופעה תורמת לסדר החברתי, כפי שנלמד בקורס. מנקודת מבט זו, הדמות המרכזית במאמר אינה אורלי או יונה אלא בית הספר, כמוסד שתפקידו לחברת את הדור הצעיר לערכים המשותפים.</w:t>
      </w:r>
    </w:p>
    <w:p>
      <w:pPr>
        <w:bidi/>
        <w:spacing w:after="120" w:line="360" w:lineRule="auto"/>
        <w:jc w:val="both"/>
      </w:pPr>
      <w:r>
        <w:rPr>
          <w:rFonts w:ascii="David" w:cs="David" w:eastAsia="David" w:hAnsi="David"/>
          <w:sz w:val="24"/>
          <w:szCs w:val="24"/>
          <w:rtl/>
        </w:rPr>
        <w:t xml:space="preserve">התפילה בבית ספרה של אברו היא דוגמה מובהקת. מולא מתארת אותה כגורם המכנס והמאחד את כל התלמידים, וכמי שקורא תיגר עליה צפויות סנקציות עד סילוק מהמערכת (מולא, 2018). פונקציונליסט יראה בכך טקס קולקטיבי שמייצר סולידריות ומסמן את גבולות הקבוצה, ואת הסנקציה כמנגנון שמירה על הגבול. באותו אופן, החלפת השמות מימי קום המדינה היא מנגנון של קיבוץ גלויות: היא בונה זהות לאומית משותפת מעולים שהגיעו מתרבויות שונות, והמורה שנתנה לאסממאו את השם אלי פעלה, מבחינתה, לטובת השתלבותו.</w:t>
      </w:r>
    </w:p>
    <w:p>
      <w:pPr>
        <w:bidi/>
        <w:spacing w:after="120" w:line="360" w:lineRule="auto"/>
        <w:jc w:val="both"/>
      </w:pPr>
      <w:r>
        <w:rPr>
          <w:rFonts w:ascii="David" w:cs="David" w:eastAsia="David" w:hAnsi="David"/>
          <w:sz w:val="24"/>
          <w:szCs w:val="24"/>
          <w:rtl/>
        </w:rPr>
        <w:t xml:space="preserve">גם אסטרטגיית הרגילות של התלמידים היא פונקציונלית מנקודת המבט של המערכת. תלמידים שמאמצים את הנורמות הדתיות, מדברים עברית ללא מבטא ומשקיעים בלימודים תורמים ליציבות בית הספר ולהמשכיות הערכים שלו. המוטיבציה הגבוהה להשתלב, שמולא מזהה בממצאיה, היא בדיוק מה שמוסד חיברות מבקש להשיג. הגישה מסבירה אפוא מדוע המערכת אינה רואה בעיה: מבחינתה ההשתלבות עובדת.</w:t>
      </w:r>
    </w:p>
    <w:p>
      <w:pPr>
        <w:bidi/>
        <w:spacing w:after="120" w:line="360" w:lineRule="auto"/>
        <w:jc w:val="both"/>
      </w:pPr>
      <w:r>
        <w:rPr>
          <w:rFonts w:ascii="David" w:cs="David" w:eastAsia="David" w:hAnsi="David"/>
          <w:sz w:val="24"/>
          <w:szCs w:val="24"/>
          <w:rtl/>
        </w:rPr>
        <w:t xml:space="preserve">ואולם הגישה מציעה גם את המושג של תפקוד לקוי. כשהמוסד מייצר הפרדה לכיתות נפרדות, נשירה לפני השלמת שתים עשרה שנות לימוד והפניית תלמידה נמרצת לריטלין, הוא פוגע בדיוק בסולידריות שהוא אמור לייצר. הפער בהישגים בין תלמידים ממוצא אתיופי לממוצע הארצי, שמולא מציינת, הוא מבחינה פונקציונליסטית סימן שהמוסד אינו ממלא את תפקידו כלפי חלק מחבריו. הפתרון שמולא מציעה, שינוי תודעה אצל המורים ויצירת מרחב דיאלוגי, הוא במונחים אלה תיקון של המוסד מבפנים, ולא שינוי של הסדר החברתי (מולא, 2018).</w:t>
      </w:r>
    </w:p>
    <w:p>
      <w:pPr>
        <w:bidi/>
        <w:spacing w:after="120" w:line="360" w:lineRule="auto"/>
        <w:jc w:val="both"/>
      </w:pPr>
      <w:r>
        <w:rPr>
          <w:rFonts w:ascii="David" w:cs="David" w:eastAsia="David" w:hAnsi="David"/>
          <w:sz w:val="24"/>
          <w:szCs w:val="24"/>
          <w:rtl/>
        </w:rPr>
        <w:t xml:space="preserve">החולשה של הגישה במקרה הזה ברורה. היא רואה בדרישה לרגילות השתלבות ולא שליטה, ולכן היא מתקשה לראות את המחיר שמולא מתעדת: כדי להיות "רגיל", התלמיד צריך להפסיק להיות מי שהוא. הסדר החברתי שהגישה מבקשת להסביר נשמר, אבל על חשבון קבוצה שמשלמת עליו בשמה, בשפתה ובדימויה העצמי.</w:t>
      </w:r>
    </w:p>
    <w:p>
      <w:pPr>
        <w:pStyle w:val="Heading1"/>
        <w:pageBreakBefore/>
        <w:bidi/>
        <w:spacing w:after="240" w:before="0" w:line="360" w:lineRule="auto"/>
        <w:jc w:val="right"/>
      </w:pPr>
      <w:r>
        <w:rPr>
          <w:rFonts w:ascii="David" w:cs="David" w:eastAsia="David" w:hAnsi="David"/>
          <w:b/>
          <w:bCs/>
          <w:sz w:val="32"/>
          <w:szCs w:val="32"/>
          <w:rtl/>
        </w:rPr>
        <w:t xml:space="preserve">פרק ג: דיון משווה</w:t>
      </w:r>
    </w:p>
    <w:p>
      <w:pPr>
        <w:bidi/>
        <w:spacing w:after="120" w:line="360" w:lineRule="auto"/>
        <w:jc w:val="both"/>
      </w:pPr>
      <w:r>
        <w:rPr>
          <w:rFonts w:ascii="David" w:cs="David" w:eastAsia="David" w:hAnsi="David"/>
          <w:sz w:val="24"/>
          <w:szCs w:val="24"/>
          <w:rtl/>
        </w:rPr>
        <w:t xml:space="preserve">שלוש הגישות מסתכלות על אותם ראיונות ורואות דברים שונים, וההבדל נובע קודם כול ממישור הניתוח. גישת האינטראקציה הסימבולית היא גישת מיקרו, שמניחה שבני אדם יוצרים את החיים החברתיים תוך כדי היחסים עם אחרים, ואילו הקונפליקט והפונקציונליזם הן גישות מקרו, שמתבוננות על המבנה מלמעלה, כפי שנלמד בקורס. לכן הראשונה רואה את אורלי מנהלת משא ומתן על הגדרת המצב מול מורתה, השנייה רואה את המורה כסוכנת של מבנה שמייצר סטריאוטיפים, והשלישית רואה את בית הספר כמוסד שאינו מצליח לחברת.</w:t>
      </w:r>
    </w:p>
    <w:p>
      <w:pPr>
        <w:bidi/>
        <w:spacing w:after="120" w:line="360" w:lineRule="auto"/>
        <w:jc w:val="both"/>
      </w:pPr>
      <w:r>
        <w:rPr>
          <w:rFonts w:ascii="David" w:cs="David" w:eastAsia="David" w:hAnsi="David"/>
          <w:sz w:val="24"/>
          <w:szCs w:val="24"/>
          <w:rtl/>
        </w:rPr>
        <w:t xml:space="preserve">אף אחת מהגישות אינה שלמה לבדה. האינטראקציה הסימבולית מסבירה את היצירתיות של התלמידים, את הקטגוריה "חומה" ואת המשחק בשמות, אך אינה מסבירה מדוע כיוון המעבר הוא תמיד לעבר הלבן. גישת הקונפליקט מסבירה את הכיוון, אך מתקשה להסביר את השונות: מדוע אברו משחקת לפי הכללים במודע ויודעת שתשתחרר מהם, בעוד זומה מאמצת אותם בשלמות. הפונקציונליזם מסביר מדוע המערכת שבעת רצון מהשתלבות התלמידים, אך מתעלם ממחירה. מולא עצמה נעה בין הגישות: היא מגדירה גזע כהבניה חברתית, ניתוח סימבולי מובהק, מנתחת יחסי כוח בין לבנים לשחורים, ניתוח קונפליקטואלי, ומפנה את מסקנותיה אל המורים כמי שיכולים לתקן את המוסד, מהלך פונקציונליסטי בעיקרו.</w:t>
      </w:r>
    </w:p>
    <w:p>
      <w:pPr>
        <w:bidi/>
        <w:spacing w:after="120" w:line="360" w:lineRule="auto"/>
        <w:jc w:val="both"/>
      </w:pPr>
      <w:r>
        <w:rPr>
          <w:rFonts w:ascii="David" w:cs="David" w:eastAsia="David" w:hAnsi="David"/>
          <w:sz w:val="24"/>
          <w:szCs w:val="24"/>
          <w:rtl/>
        </w:rPr>
        <w:t xml:space="preserve">נקודה אחת שהקורס מוסיף למאמר היא הצטלבות הצירים. אי השוויון בישראל הוא תופעה רב ממדית, וצירים כלכליים, אתניים, חינוכיים ומגדריים אינם פועלים בבידוד אלא מצטברים להשפעה חזקה מסכום חלקיהם. התלמידים במאמר נמצאים בנקודת מפגש של לפחות ארבעה צירים: הציר הגזעי של צבע העור, הציר הכלכלי של הפריפריה, הציר החינוכי של הכיתות הנפרדות, והציר הדתי של הגיור לחומרא. אצל הבנות נוסף ציר מגדרי: אורלי מאובחנת כמופרעת דווקא משום שהתנהגותה סותרת את הסטריאוטיפ, ומולא מעירה שאילו הייתה לבנה ייתכן שהייתה מוגדרת שובבה ונמרצת (מולא, 2018). הצטלבות זו מסבירה מדוע הרגילות היא פרויקט כה תובעני: התלמיד צריך לעבור לא מבחן אחד אלא כמה מבחנים בבת אחת.</w:t>
      </w:r>
    </w:p>
    <w:p>
      <w:pPr>
        <w:bidi/>
        <w:spacing w:after="120" w:line="360" w:lineRule="auto"/>
        <w:jc w:val="both"/>
      </w:pPr>
      <w:r>
        <w:rPr>
          <w:rFonts w:ascii="David" w:cs="David" w:eastAsia="David" w:hAnsi="David"/>
          <w:sz w:val="24"/>
          <w:szCs w:val="24"/>
          <w:rtl/>
        </w:rPr>
        <w:t xml:space="preserve">הדיון בהצטלבות מחזק גם את המסקנה המתודולוגית של מולא. חוקרת שחולקת עם המרואיינים את צבע העור אך לא את הגיל והמעמד נמצאת בעצמה בנקודת הצטלבות, וזו הסיבה שהיא יכולה להיות מבפנים ומבחוץ בו זמנית. הראיונות שנפתחו רק לאחר שוויתרה על מכשיר ההקלטה מלמדים שהאינטראקציה בין חוקרת למרואיין היא בעצמה אינטראקציה סימבולית, שבה מכשיר ההקלטה הוא סמל סטטוס של הממסד.</w:t>
      </w:r>
    </w:p>
    <w:p>
      <w:pPr>
        <w:pStyle w:val="Heading1"/>
        <w:pageBreakBefore/>
        <w:bidi/>
        <w:spacing w:after="240" w:before="0" w:line="360" w:lineRule="auto"/>
        <w:jc w:val="right"/>
      </w:pPr>
      <w:r>
        <w:rPr>
          <w:rFonts w:ascii="David" w:cs="David" w:eastAsia="David" w:hAnsi="David"/>
          <w:b/>
          <w:bCs/>
          <w:sz w:val="32"/>
          <w:szCs w:val="32"/>
          <w:rtl/>
        </w:rPr>
        <w:t xml:space="preserve">סיכום ומסקנות</w:t>
      </w:r>
    </w:p>
    <w:p>
      <w:pPr>
        <w:bidi/>
        <w:spacing w:after="120" w:line="360" w:lineRule="auto"/>
        <w:jc w:val="both"/>
      </w:pPr>
      <w:r>
        <w:rPr>
          <w:rFonts w:ascii="David" w:cs="David" w:eastAsia="David" w:hAnsi="David"/>
          <w:sz w:val="24"/>
          <w:szCs w:val="24"/>
          <w:rtl/>
        </w:rPr>
        <w:t xml:space="preserve">העבודה יצאה משאלה אחת: כיצד מסבירה כל אחת משלוש הגישות הסוציולוגיות את אסטרטגיית הרגילות של התלמידים האתיופים, ומה מוסיפות תאוריות הריבוד. התשובה, בקצרה, היא שגישת האינטראקציה הסימבולית מסבירה את המנגנון היומיומי, ניהול רושם מול סמל שאי אפשר להסיר; גישת הקונפליקט מסבירה את הכיוון, מעבר חד כיווני אל הלבנות משום שהיא משאב; והגישה הפונקציונליסטית מסבירה מדוע המוסד החינוכי רואה בכך הצלחה. תאוריות הריבוד, ובראשן בורדייה, מוסיפות את ההבחנה בין מי שההון התרבותי שלו "מרגיש טבעי" ובין מי שרוכש אותו במאמץ מתמיד, ואת ההבנה שההפרדה לכיתות נפרדות היא שעתוק ולא אמצעי עזר.</w:t>
      </w:r>
    </w:p>
    <w:p>
      <w:pPr>
        <w:bidi/>
        <w:spacing w:after="120" w:line="360" w:lineRule="auto"/>
        <w:jc w:val="both"/>
      </w:pPr>
      <w:r>
        <w:rPr>
          <w:rFonts w:ascii="David" w:cs="David" w:eastAsia="David" w:hAnsi="David"/>
          <w:sz w:val="24"/>
          <w:szCs w:val="24"/>
          <w:rtl/>
        </w:rPr>
        <w:t xml:space="preserve">מסקנה תאורטית מסבירה מה קרה. המלצה יישומית אומרת מה עושים מחר בבוקר, וקהל היעד של מולא הוא המורים, ולכן ההמלצות מכוונות לבית הספר. ראשית, בעניין השמות: בתחילת כל שנה המחנך שואל כל תלמיד באיזה שם הוא רוצה שיקראו לו, והשם הזה נרשם במערכת ובתעודות, ולא השם שנקבע במרכז הקליטה. שנית, בעניין הפרדה: בית ספר שקולט תלמידים ממוצא אתיופי משבץ אותם בכיתות הטרוגניות, והתגבור הלימודי ניתן בתוך הכיתה או אחריה ולא בכיתה נפרדת. שלישית, בעניין האבחון: לפני הפניית תלמיד לאבחון קשב או לטיפול תרופתי, נדרשת התייעצות עם מורה נוסף שבוחנת שאלה אחת, האם אותה התנהגות אצל תלמיד שאינו אתיופי הייתה מופנית לאבחון. רביעית, בעניין הקול: אחת לסמסטר מתקיים מעגל שיח כיתתי שבו התלמידים מדברים על חוויית היומיום שלהם בבית הספר, בלי שהמילה גזענות נכפית עליהם, בדיוק כפי שמולא למדה לעשות בראיונותיה. חמישית, בעניין ההון התרבותי: מאחר שבית הספר מתגמל קודים שרק חלק מהתלמידים הביאו מהבית, על הצוות ללמד את הקודים במפורש, מה זה סילבוס, איך ניגשים למורה, איך מבקשים הארכה, במקום להניח שכולם יודעים.</w:t>
      </w:r>
    </w:p>
    <w:p>
      <w:pPr>
        <w:bidi/>
        <w:spacing w:after="120" w:line="360" w:lineRule="auto"/>
        <w:jc w:val="both"/>
      </w:pPr>
      <w:r>
        <w:rPr>
          <w:rFonts w:ascii="David" w:cs="David" w:eastAsia="David" w:hAnsi="David"/>
          <w:sz w:val="24"/>
          <w:szCs w:val="24"/>
          <w:rtl/>
        </w:rPr>
        <w:t xml:space="preserve">המבוא פתח בשאלה מדוע נערה בת שבע עשרה משקיעה את מרצה בלהיראות כמו כולם. אחרי שלוש הגישות התשובה היא שהיא עושה זאת משום שהאינטראקציה דורשת זאת, משום שהמבנה מתגמל זאת, ומשום שהמוסד רואה בכך הצלחה. מולא מבקשת מהמורים להקשיב. הניתוח הסוציולוגי מוסיף שהקשבה לבדה לא תספיק כל עוד ההון, ההפרדה והסטריאוטיפ נשארים במקומם. אבל היא נקודת התחלה שאפשר להתחיל בה מחר.</w:t>
      </w:r>
    </w:p>
    <w:p>
      <w:pPr>
        <w:pStyle w:val="Heading1"/>
        <w:pageBreakBefore/>
        <w:bidi/>
        <w:spacing w:after="240" w:before="0" w:line="360" w:lineRule="auto"/>
        <w:jc w:val="right"/>
      </w:pPr>
      <w:r>
        <w:rPr>
          <w:rFonts w:ascii="David" w:cs="David" w:eastAsia="David" w:hAnsi="David"/>
          <w:b/>
          <w:bCs/>
          <w:sz w:val="32"/>
          <w:szCs w:val="32"/>
          <w:rtl/>
        </w:rPr>
        <w:t xml:space="preserve">רשימת מקורות</w:t>
      </w:r>
    </w:p>
    <w:p>
      <w:pPr>
        <w:bidi/>
        <w:spacing w:after="120" w:line="360" w:lineRule="auto"/>
        <w:ind w:left="709" w:hanging="709"/>
        <w:jc w:val="right"/>
      </w:pPr>
      <w:r>
        <w:rPr>
          <w:rFonts w:ascii="David" w:cs="David" w:eastAsia="David" w:hAnsi="David"/>
          <w:sz w:val="24"/>
          <w:szCs w:val="24"/>
          <w:rtl/>
        </w:rPr>
        <w:t xml:space="preserve">מולא, ש' (2018). "אני רגילה לגמרי": יהודיות, ישראליות ולבנות כעוגנים זהותיים בתהליך התמודדותם של תלמידים אתיופים עם גזענות בישראל. </w:t>
      </w:r>
      <w:r>
        <w:rPr>
          <w:rFonts w:ascii="David" w:cs="David" w:eastAsia="David" w:hAnsi="David"/>
          <w:i/>
          <w:iCs/>
          <w:sz w:val="24"/>
          <w:szCs w:val="24"/>
          <w:rtl/>
        </w:rPr>
        <w:t xml:space="preserve">גילוי דעת</w:t>
      </w:r>
      <w:r>
        <w:rPr>
          <w:rFonts w:ascii="David" w:cs="David" w:eastAsia="David" w:hAnsi="David"/>
          <w:sz w:val="24"/>
          <w:szCs w:val="24"/>
          <w:rtl/>
        </w:rPr>
        <w:t xml:space="preserve">, </w:t>
      </w:r>
      <w:r>
        <w:rPr>
          <w:rFonts w:ascii="David" w:cs="David" w:eastAsia="David" w:hAnsi="David"/>
          <w:i/>
          <w:iCs/>
          <w:sz w:val="24"/>
          <w:szCs w:val="24"/>
          <w:rtl/>
        </w:rPr>
        <w:t xml:space="preserve">14</w:t>
      </w:r>
      <w:r>
        <w:rPr>
          <w:rFonts w:ascii="David" w:cs="David" w:eastAsia="David" w:hAnsi="David"/>
          <w:sz w:val="24"/>
          <w:szCs w:val="24"/>
          <w:rtl/>
        </w:rPr>
        <w:t xml:space="preserve">, 13-42.</w:t>
      </w:r>
    </w:p>
    <w:p>
      <w:pPr>
        <w:pStyle w:val="Heading1"/>
        <w:pageBreakBefore/>
        <w:bidi/>
        <w:spacing w:after="240" w:before="0" w:line="360" w:lineRule="auto"/>
        <w:jc w:val="right"/>
      </w:pPr>
      <w:r>
        <w:rPr>
          <w:rFonts w:ascii="David" w:cs="David" w:eastAsia="David" w:hAnsi="David"/>
          <w:b/>
          <w:bCs/>
          <w:sz w:val="32"/>
          <w:szCs w:val="32"/>
          <w:rtl/>
        </w:rPr>
        <w:t xml:space="preserve">הצהרה על שימוש בבינה מלאכותית</w:t>
      </w:r>
    </w:p>
    <w:p>
      <w:pPr>
        <w:bidi/>
        <w:spacing w:after="120" w:line="360" w:lineRule="auto"/>
        <w:jc w:val="both"/>
      </w:pPr>
      <w:r>
        <w:rPr>
          <w:rFonts w:ascii="David" w:cs="David" w:eastAsia="David" w:hAnsi="David"/>
          <w:sz w:val="24"/>
          <w:szCs w:val="24"/>
          <w:rtl/>
        </w:rPr>
        <w:t xml:space="preserve">[יש למלא כאן את הטופס הרשמי של הקורס בנוסח המופיע באתר הקורס. אין להשתמש בנוסח חופשי.]</w:t>
      </w:r>
    </w:p>
    <w:sectPr>
      <w:footerReference w:type="default" r:id="rId7"/>
      <w:footerReference w:type="first" r:id="rId8"/>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line="360"/>
      <w:outlineLvl w:val="0"/>
    </w:pPr>
    <w:rPr>
      <w:rFonts w:ascii="David" w:cs="David" w:eastAsia="David" w:hAnsi="David"/>
      <w:b/>
      <w:bCs/>
      <w:color w:val="000000"/>
      <w:sz w:val="32"/>
      <w:szCs w:val="32"/>
      <w:rtl/>
    </w:rPr>
  </w:style>
  <w:style w:type="paragraph" w:styleId="Heading2">
    <w:name w:val="Heading 2"/>
    <w:basedOn w:val="Normal"/>
    <w:next w:val="Normal"/>
    <w:qFormat/>
    <w:pPr>
      <w:spacing w:after="120" w:before="240" w:line="360"/>
      <w:outlineLvl w:val="1"/>
    </w:pPr>
    <w:rPr>
      <w:rFonts w:ascii="David" w:cs="David" w:eastAsia="David" w:hAnsi="David"/>
      <w:b/>
      <w:bCs/>
      <w:color w:val="000000"/>
      <w:sz w:val="26"/>
      <w:szCs w:val="26"/>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רגילים לגמרי: ניתוח סוציולוגי</dc:title>
  <dc:creator>רביע אלטורי</dc:creator>
  <cp:lastModifiedBy>Un-named</cp:lastModifiedBy>
  <cp:revision>1</cp:revision>
  <dcterms:created xsi:type="dcterms:W3CDTF">2026-09-13T18:10:51.382Z</dcterms:created>
  <dcterms:modified xsi:type="dcterms:W3CDTF">2026-09-13T18:10:51.399Z</dcterms:modified>
</cp:coreProperties>
</file>

<file path=docProps/custom.xml><?xml version="1.0" encoding="utf-8"?>
<Properties xmlns="http://schemas.openxmlformats.org/officeDocument/2006/custom-properties" xmlns:vt="http://schemas.openxmlformats.org/officeDocument/2006/docPropsVTypes"/>
</file>