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bidi/>
        <w:spacing w:after="0" w:before="0" w:line="360" w:lineRule="auto"/>
        <w:jc w:val="center"/>
      </w:pPr>
      <w:r>
        <w:rPr>
          <w:rFonts w:ascii="Times New Roman" w:cs="David" w:hAnsi="Times New Roman"/>
          <w:b/>
          <w:bCs/>
          <w:sz w:val="32"/>
          <w:szCs w:val="32"/>
          <w:rtl/>
        </w:rPr>
        <w:t xml:space="preserve">החוג לחינוך</w:t>
      </w:r>
    </w:p>
    <w:p>
      <w:pPr>
        <w:bidi/>
        <w:spacing w:after="0" w:before="0" w:line="360" w:lineRule="auto"/>
        <w:jc w:val="center"/>
      </w:pPr>
      <w:r>
        <w:rPr>
          <w:rFonts w:ascii="Times New Roman" w:cs="David" w:hAnsi="Times New Roman"/>
          <w:b/>
          <w:bCs/>
          <w:sz w:val="40"/>
          <w:szCs w:val="40"/>
          <w:rtl/>
        </w:rPr>
        <w:t xml:space="preserve">ילד, משפחה וקהילה</w:t>
      </w:r>
    </w:p>
    <w:p>
      <w:pPr>
        <w:bidi/>
        <w:spacing w:after="0" w:before="0" w:line="360" w:lineRule="auto"/>
        <w:jc w:val="both"/>
      </w:pPr>
      <w:r>
        <w:rPr>
          <w:rFonts w:ascii="Times New Roman" w:cs="David" w:hAnsi="Times New Roman"/>
          <w:sz w:val="24"/>
          <w:szCs w:val="24"/>
          <w:rtl/>
        </w:rPr>
        <w:t xml:space="preserve"> </w:t>
      </w:r>
    </w:p>
    <w:p>
      <w:pPr>
        <w:bidi/>
        <w:spacing w:after="0" w:before="0" w:line="360" w:lineRule="auto"/>
        <w:jc w:val="center"/>
      </w:pPr>
      <w:r>
        <w:rPr>
          <w:rFonts w:ascii="Times New Roman" w:cs="David" w:hAnsi="Times New Roman"/>
          <w:b/>
          <w:bCs/>
          <w:sz w:val="36"/>
          <w:szCs w:val="36"/>
          <w:rtl/>
        </w:rPr>
        <w:t xml:space="preserve">עבודה מסכמת</w:t>
      </w:r>
    </w:p>
    <w:p>
      <w:pPr>
        <w:bidi/>
        <w:spacing w:after="0" w:before="0" w:line="360" w:lineRule="auto"/>
        <w:jc w:val="both"/>
      </w:pPr>
      <w:r>
        <w:rPr>
          <w:rFonts w:ascii="Times New Roman" w:cs="David" w:hAnsi="Times New Roman"/>
          <w:sz w:val="24"/>
          <w:szCs w:val="24"/>
          <w:rtl/>
        </w:rPr>
        <w:t xml:space="preserve"> </w:t>
      </w:r>
    </w:p>
    <w:p>
      <w:pPr>
        <w:bidi/>
        <w:spacing w:after="0" w:before="0" w:line="360" w:lineRule="auto"/>
        <w:jc w:val="both"/>
      </w:pPr>
      <w:r>
        <w:rPr>
          <w:rFonts w:ascii="Times New Roman" w:cs="David" w:hAnsi="Times New Roman"/>
          <w:sz w:val="24"/>
          <w:szCs w:val="24"/>
          <w:rtl/>
        </w:rPr>
        <w:t xml:space="preserve"> </w:t>
      </w:r>
    </w:p>
    <w:p>
      <w:pPr>
        <w:bidi/>
        <w:spacing w:after="0" w:before="0" w:line="360" w:lineRule="auto"/>
        <w:jc w:val="center"/>
      </w:pPr>
      <w:r>
        <w:rPr>
          <w:rFonts w:ascii="Times New Roman" w:cs="David" w:hAnsi="Times New Roman"/>
          <w:sz w:val="28"/>
          <w:szCs w:val="28"/>
          <w:rtl/>
        </w:rPr>
        <w:t xml:space="preserve">מרצה: ח'אולה סעיד</w:t>
      </w:r>
    </w:p>
    <w:p>
      <w:pPr>
        <w:bidi/>
        <w:spacing w:after="0" w:before="0" w:line="360" w:lineRule="auto"/>
        <w:jc w:val="both"/>
      </w:pPr>
      <w:r>
        <w:rPr>
          <w:rFonts w:ascii="Times New Roman" w:cs="David" w:hAnsi="Times New Roman"/>
          <w:sz w:val="24"/>
          <w:szCs w:val="24"/>
          <w:rtl/>
        </w:rPr>
        <w:t xml:space="preserve"> </w:t>
      </w:r>
    </w:p>
    <w:p>
      <w:pPr>
        <w:bidi/>
        <w:spacing w:after="0" w:before="0" w:line="360" w:lineRule="auto"/>
        <w:jc w:val="center"/>
      </w:pPr>
      <w:r>
        <w:rPr>
          <w:rFonts w:ascii="Times New Roman" w:cs="David" w:hAnsi="Times New Roman"/>
          <w:sz w:val="28"/>
          <w:szCs w:val="28"/>
          <w:highlight w:val="yellow"/>
          <w:highlightCs w:val="yellow"/>
          <w:rtl/>
        </w:rPr>
        <w:t xml:space="preserve">מגישה 1: [שם מלא + ת"ז - להשלים]</w:t>
      </w:r>
    </w:p>
    <w:p>
      <w:pPr>
        <w:bidi/>
        <w:spacing w:after="0" w:before="0" w:line="360" w:lineRule="auto"/>
        <w:jc w:val="center"/>
      </w:pPr>
      <w:r>
        <w:rPr>
          <w:rFonts w:ascii="Times New Roman" w:cs="David" w:hAnsi="Times New Roman"/>
          <w:sz w:val="28"/>
          <w:szCs w:val="28"/>
          <w:highlight w:val="yellow"/>
          <w:highlightCs w:val="yellow"/>
          <w:rtl/>
        </w:rPr>
        <w:t xml:space="preserve">מגישה 2: [שם מלא + ת"ז - להשלים]</w:t>
      </w:r>
    </w:p>
    <w:p>
      <w:pPr>
        <w:bidi/>
        <w:spacing w:after="0" w:before="0" w:line="360" w:lineRule="auto"/>
        <w:jc w:val="both"/>
      </w:pPr>
      <w:r>
        <w:rPr>
          <w:rFonts w:ascii="Times New Roman" w:cs="David" w:hAnsi="Times New Roman"/>
          <w:sz w:val="24"/>
          <w:szCs w:val="24"/>
          <w:rtl/>
        </w:rPr>
        <w:t xml:space="preserve"> </w:t>
      </w:r>
    </w:p>
    <w:p>
      <w:pPr>
        <w:bidi/>
        <w:spacing w:after="0" w:before="0" w:line="360" w:lineRule="auto"/>
        <w:jc w:val="center"/>
      </w:pPr>
      <w:r>
        <w:rPr>
          <w:rFonts w:ascii="Times New Roman" w:cs="David" w:hAnsi="Times New Roman"/>
          <w:sz w:val="28"/>
          <w:szCs w:val="28"/>
          <w:rtl/>
        </w:rPr>
        <w:t xml:space="preserve">מועד הגשה: 30.7.2026</w:t>
      </w:r>
    </w:p>
    <w:p>
      <w:r>
        <w:br w:type="page"/>
      </w:r>
    </w:p>
    <w:p>
      <w:pPr>
        <w:bidi/>
        <w:spacing w:after="240" w:before="0" w:line="360" w:lineRule="auto"/>
        <w:jc w:val="center"/>
      </w:pPr>
      <w:r>
        <w:rPr>
          <w:rFonts w:ascii="Times New Roman" w:cs="David" w:hAnsi="Times New Roman"/>
          <w:b/>
          <w:bCs/>
          <w:sz w:val="28"/>
          <w:szCs w:val="28"/>
          <w:u w:val="single"/>
          <w:rtl/>
        </w:rPr>
        <w:t xml:space="preserve">תוכן עניינים</w:t>
      </w:r>
    </w:p>
    <w:p>
      <w:pPr>
        <w:tabs>
          <w:tab w:val="left" w:pos="8500" w:leader="dot"/>
        </w:tabs>
        <w:bidi/>
        <w:spacing w:line="360" w:lineRule="auto"/>
      </w:pPr>
      <w:r>
        <w:rPr>
          <w:rFonts w:ascii="Times New Roman" w:cs="David" w:hAnsi="Times New Roman"/>
          <w:sz w:val="24"/>
          <w:szCs w:val="24"/>
          <w:rtl/>
        </w:rPr>
        <w:t xml:space="preserve">שאלה 1: המשפחה</w:t>
      </w:r>
      <w:r>
        <w:rPr>
          <w:rFonts w:ascii="Times New Roman" w:cs="David" w:hAnsi="Times New Roman"/>
          <w:sz w:val="24"/>
          <w:szCs w:val="24"/>
        </w:rPr>
        <w:tab/>
      </w:r>
      <w:r>
        <w:rPr>
          <w:rFonts w:ascii="Times New Roman" w:cs="David" w:hAnsi="Times New Roman"/>
          <w:sz w:val="24"/>
          <w:szCs w:val="24"/>
          <w:rtl/>
        </w:rPr>
        <w:t xml:space="preserve">3</w:t>
      </w:r>
    </w:p>
    <w:p>
      <w:pPr>
        <w:tabs>
          <w:tab w:val="left" w:pos="8500" w:leader="dot"/>
        </w:tabs>
        <w:bidi/>
        <w:spacing w:line="360" w:lineRule="auto"/>
      </w:pPr>
      <w:r>
        <w:rPr>
          <w:rFonts w:ascii="Times New Roman" w:cs="David" w:hAnsi="Times New Roman"/>
          <w:sz w:val="24"/>
          <w:szCs w:val="24"/>
          <w:rtl/>
        </w:rPr>
        <w:t xml:space="preserve">שאלה 2: צמתי הכרעה בתהליך החיברות</w:t>
      </w:r>
      <w:r>
        <w:rPr>
          <w:rFonts w:ascii="Times New Roman" w:cs="David" w:hAnsi="Times New Roman"/>
          <w:sz w:val="24"/>
          <w:szCs w:val="24"/>
        </w:rPr>
        <w:tab/>
      </w:r>
      <w:r>
        <w:rPr>
          <w:rFonts w:ascii="Times New Roman" w:cs="David" w:hAnsi="Times New Roman"/>
          <w:sz w:val="24"/>
          <w:szCs w:val="24"/>
          <w:rtl/>
        </w:rPr>
        <w:t xml:space="preserve">3</w:t>
      </w:r>
    </w:p>
    <w:p>
      <w:pPr>
        <w:tabs>
          <w:tab w:val="left" w:pos="8500" w:leader="dot"/>
        </w:tabs>
        <w:bidi/>
        <w:spacing w:line="360" w:lineRule="auto"/>
      </w:pPr>
      <w:r>
        <w:rPr>
          <w:rFonts w:ascii="Times New Roman" w:cs="David" w:hAnsi="Times New Roman"/>
          <w:sz w:val="24"/>
          <w:szCs w:val="24"/>
          <w:rtl/>
        </w:rPr>
        <w:t xml:space="preserve">שאלה 3: תאמר והמודל האקולוגי</w:t>
      </w:r>
      <w:r>
        <w:rPr>
          <w:rFonts w:ascii="Times New Roman" w:cs="David" w:hAnsi="Times New Roman"/>
          <w:sz w:val="24"/>
          <w:szCs w:val="24"/>
        </w:rPr>
        <w:tab/>
      </w:r>
      <w:r>
        <w:rPr>
          <w:rFonts w:ascii="Times New Roman" w:cs="David" w:hAnsi="Times New Roman"/>
          <w:sz w:val="24"/>
          <w:szCs w:val="24"/>
          <w:rtl/>
        </w:rPr>
        <w:t xml:space="preserve">4</w:t>
      </w:r>
    </w:p>
    <w:p>
      <w:pPr>
        <w:tabs>
          <w:tab w:val="left" w:pos="8500" w:leader="dot"/>
        </w:tabs>
        <w:bidi/>
        <w:spacing w:line="360" w:lineRule="auto"/>
      </w:pPr>
      <w:r>
        <w:rPr>
          <w:rFonts w:ascii="Times New Roman" w:cs="David" w:hAnsi="Times New Roman"/>
          <w:sz w:val="24"/>
          <w:szCs w:val="24"/>
          <w:rtl/>
        </w:rPr>
        <w:t xml:space="preserve">שאלה 4: משפחות במשבר וגורמי סיכון</w:t>
      </w:r>
      <w:r>
        <w:rPr>
          <w:rFonts w:ascii="Times New Roman" w:cs="David" w:hAnsi="Times New Roman"/>
          <w:sz w:val="24"/>
          <w:szCs w:val="24"/>
        </w:rPr>
        <w:tab/>
      </w:r>
      <w:r>
        <w:rPr>
          <w:rFonts w:ascii="Times New Roman" w:cs="David" w:hAnsi="Times New Roman"/>
          <w:sz w:val="24"/>
          <w:szCs w:val="24"/>
          <w:rtl/>
        </w:rPr>
        <w:t xml:space="preserve">5</w:t>
      </w:r>
    </w:p>
    <w:p>
      <w:pPr>
        <w:tabs>
          <w:tab w:val="left" w:pos="8500" w:leader="dot"/>
        </w:tabs>
        <w:bidi/>
        <w:spacing w:line="360" w:lineRule="auto"/>
      </w:pPr>
      <w:r>
        <w:rPr>
          <w:rFonts w:ascii="Times New Roman" w:cs="David" w:hAnsi="Times New Roman"/>
          <w:sz w:val="24"/>
          <w:szCs w:val="24"/>
          <w:rtl/>
        </w:rPr>
        <w:t xml:space="preserve">שאלה 5: סיכום ואמירה אישית</w:t>
      </w:r>
      <w:r>
        <w:rPr>
          <w:rFonts w:ascii="Times New Roman" w:cs="David" w:hAnsi="Times New Roman"/>
          <w:sz w:val="24"/>
          <w:szCs w:val="24"/>
        </w:rPr>
        <w:tab/>
      </w:r>
      <w:r>
        <w:rPr>
          <w:rFonts w:ascii="Times New Roman" w:cs="David" w:hAnsi="Times New Roman"/>
          <w:sz w:val="24"/>
          <w:szCs w:val="24"/>
          <w:rtl/>
        </w:rPr>
        <w:t xml:space="preserve">6</w:t>
      </w:r>
    </w:p>
    <w:p>
      <w:pPr>
        <w:tabs>
          <w:tab w:val="left" w:pos="8500" w:leader="dot"/>
        </w:tabs>
        <w:bidi/>
        <w:spacing w:line="360" w:lineRule="auto"/>
      </w:pPr>
      <w:r>
        <w:rPr>
          <w:rFonts w:ascii="Times New Roman" w:cs="David" w:hAnsi="Times New Roman"/>
          <w:sz w:val="24"/>
          <w:szCs w:val="24"/>
          <w:rtl/>
        </w:rPr>
        <w:t xml:space="preserve">רשימת מקורות</w:t>
      </w:r>
      <w:r>
        <w:rPr>
          <w:rFonts w:ascii="Times New Roman" w:cs="David" w:hAnsi="Times New Roman"/>
          <w:sz w:val="24"/>
          <w:szCs w:val="24"/>
        </w:rPr>
        <w:tab/>
      </w:r>
      <w:r>
        <w:rPr>
          <w:rFonts w:ascii="Times New Roman" w:cs="David" w:hAnsi="Times New Roman"/>
          <w:sz w:val="24"/>
          <w:szCs w:val="24"/>
          <w:rtl/>
        </w:rPr>
        <w:t xml:space="preserve">7</w:t>
      </w:r>
    </w:p>
    <w:p>
      <w:r>
        <w:br w:type="page"/>
      </w:r>
    </w:p>
    <w:p>
      <w:pPr>
        <w:bidi/>
        <w:spacing w:after="120" w:before="240" w:line="360" w:lineRule="auto"/>
        <w:jc w:val="both"/>
      </w:pPr>
      <w:r>
        <w:rPr>
          <w:rFonts w:ascii="Times New Roman" w:cs="David" w:hAnsi="Times New Roman"/>
          <w:b/>
          <w:bCs/>
          <w:sz w:val="24"/>
          <w:szCs w:val="24"/>
          <w:u w:val="single"/>
          <w:rtl/>
        </w:rPr>
        <w:t xml:space="preserve">שאלה 1: המשפחה</w:t>
      </w:r>
    </w:p>
    <w:p>
      <w:pPr>
        <w:bidi/>
        <w:spacing w:after="0" w:before="0" w:line="360" w:lineRule="auto"/>
        <w:jc w:val="both"/>
      </w:pPr>
      <w:r>
        <w:rPr>
          <w:rFonts w:ascii="Times New Roman" w:cs="David" w:hAnsi="Times New Roman"/>
          <w:sz w:val="24"/>
          <w:szCs w:val="24"/>
          <w:rtl/>
        </w:rPr>
        <w:t xml:space="preserve">ילדות אינה עובדה ביולוגית בלבד אלא הבניה חברתית, וגבולותיה משתנים מתקופה לתקופה ומתרבות לתרבות. בעבר נתפס הילד כמבוגר קטן: הוא הצטרף מוקדם לעבודת המשפחה, וההבחנה בין עולם הילדים לעולם המבוגרים הייתה מטושטשת. העת החדשה הביאה עמה תפיסה של הילדות כשלב חיים נבדל, הראוי להגנה, לחינוך ולמשחק, והחוק המודרני אף קובע לה גבול פורמלי בגיל 18. בפועל הגבול נזיל: יש ילדים שנדרשים לבגרות מוקדמת בשל מצוקה כלכלית או משפחתית, ויש בגירים שממשיכים להיות תלויים בהוריהם שנים ארוכות. מאפייני הילדות כיום כוללים שהות ממושכת במסגרות חינוך, חשיפה רחבה למדיה ותקופת תלות ארוכה מבעבר (</w:t>
      </w:r>
      <w:r>
        <w:rPr>
          <w:rFonts w:ascii="Times New Roman" w:cs="David" w:hAnsi="Times New Roman"/>
          <w:sz w:val="24"/>
          <w:szCs w:val="24"/>
        </w:rPr>
        <w:t xml:space="preserve">אגמון, 2022</w:t>
      </w:r>
      <w:r>
        <w:rPr>
          <w:rFonts w:ascii="Times New Roman" w:cs="David" w:hAnsi="Times New Roman"/>
          <w:sz w:val="24"/>
          <w:szCs w:val="24"/>
          <w:rtl/>
        </w:rPr>
        <w:t xml:space="preserve">).</w:t>
      </w:r>
    </w:p>
    <w:p>
      <w:pPr>
        <w:bidi/>
        <w:spacing w:after="0" w:before="0" w:line="360" w:lineRule="auto"/>
        <w:jc w:val="both"/>
      </w:pPr>
      <w:r>
        <w:rPr>
          <w:rFonts w:ascii="Times New Roman" w:cs="David" w:hAnsi="Times New Roman"/>
          <w:sz w:val="24"/>
          <w:szCs w:val="24"/>
          <w:rtl/>
        </w:rPr>
        <w:t xml:space="preserve">גם הגדרת המשפחה השתנתה. ההגדרה הקלאסית מדברת על יחידה של הורים וילדים הקשורים בקשרי דם, נישואין או אימוץ, אך לצדה קיימות כיום גרסאות רבות: משפחות חד-הוריות, משפחות מורחבות, משפחות מעורבות ועוד. יש להבחין בין מי שהם משפחה במובן הפורמלי ובין מי שהם "כמו משפחה": חברים קרובים, שכנים או מטפלים שממלאים בפועל תפקידים משפחתיים של תמיכה ושייכות, אך הסביבה החברתית והחוק אינם מכירים בהם כקרובים. ההכרה החברתית שמורה בעיקר לקשרי דם, נישואין ואימוץ, והיא זו שקובעת זכויות, חובות וייחוס. בתוך המשפחה מתקיים רצף בין-דורי: העבר, ההווה והתוכניות לעתיד משפיעים זה על זה כל העת, וניתוח פסיכולוגי של משפחה מחייב הבנה של ההקשר ההיסטורי, הפסיכולוגי והפוליטי שבתוכו היא חיה. בחברה הערבית בישראל, למשל, המשפחה המורחבת והפטריארכלית עודנה מסגרת ייחוס מרכזית, גם לאחר תהליכי שינוי ומודרניזציה (</w:t>
      </w:r>
      <w:r>
        <w:rPr>
          <w:rFonts w:ascii="Times New Roman" w:cs="David" w:hAnsi="Times New Roman"/>
          <w:sz w:val="24"/>
          <w:szCs w:val="24"/>
        </w:rPr>
        <w:t xml:space="preserve">גנאים חסין, 2026א</w:t>
      </w:r>
      <w:r>
        <w:rPr>
          <w:rFonts w:ascii="Times New Roman" w:cs="David" w:hAnsi="Times New Roman"/>
          <w:sz w:val="24"/>
          <w:szCs w:val="24"/>
          <w:rtl/>
        </w:rPr>
        <w:t xml:space="preserve">).</w:t>
      </w:r>
    </w:p>
    <w:p>
      <w:pPr>
        <w:bidi/>
        <w:spacing w:after="0" w:before="0" w:line="360" w:lineRule="auto"/>
        <w:jc w:val="both"/>
      </w:pPr>
      <w:r>
        <w:rPr>
          <w:rFonts w:ascii="Times New Roman" w:cs="David" w:hAnsi="Times New Roman"/>
          <w:sz w:val="24"/>
          <w:szCs w:val="24"/>
          <w:rtl/>
        </w:rPr>
        <w:t xml:space="preserve">קהילה היא מעגל השייכות שמעבר למשפחה: היישוב, השכונה, מוסדות החינוך, הדת והרווחה. היא מעניקה למשפחה רשת תמיכה ושירותים, אך גם מכתיבה נורמות ומפעילה פיקוח חברתי על אופן גידול הילדים. על הקהילה עצמה פועלים מעגלים חיצוניים: מדיניות ממשלתית, כלכלה, חקיקה, מדיה ותרבות. מעגלים אלה מחלחלים פנימה ומעצבים את תנאי החיים של המשפחה ואת הילדות עצמה, כפי שמתאר המודל האקולוגי (</w:t>
      </w:r>
      <w:r>
        <w:rPr>
          <w:rFonts w:ascii="Times New Roman" w:cs="David" w:hAnsi="Times New Roman"/>
          <w:sz w:val="24"/>
          <w:szCs w:val="24"/>
        </w:rPr>
        <w:t xml:space="preserve">Bronfenbrenner, 1979</w:t>
      </w:r>
      <w:r>
        <w:rPr>
          <w:rFonts w:ascii="Times New Roman" w:cs="David" w:hAnsi="Times New Roman"/>
          <w:sz w:val="24"/>
          <w:szCs w:val="24"/>
          <w:rtl/>
        </w:rPr>
        <w:t xml:space="preserve">).</w:t>
      </w:r>
    </w:p>
    <w:p>
      <w:pPr>
        <w:bidi/>
        <w:spacing w:after="0" w:before="120" w:line="360" w:lineRule="auto"/>
        <w:jc w:val="both"/>
      </w:pPr>
      <w:r>
        <w:rPr>
          <w:rFonts w:ascii="Times New Roman" w:cs="David" w:hAnsi="Times New Roman"/>
          <w:b/>
          <w:bCs/>
          <w:sz w:val="24"/>
          <w:szCs w:val="24"/>
          <w:rtl/>
        </w:rPr>
        <w:t xml:space="preserve">התייחסות אישית (כל אחת כותבת בנפרד):</w:t>
      </w:r>
    </w:p>
    <w:p>
      <w:pPr>
        <w:bidi/>
        <w:spacing w:after="0" w:before="0" w:line="360" w:lineRule="auto"/>
        <w:jc w:val="both"/>
      </w:pPr>
      <w:r>
        <w:rPr>
          <w:rFonts w:ascii="Times New Roman" w:cs="David" w:hAnsi="Times New Roman"/>
          <w:sz w:val="24"/>
          <w:szCs w:val="24"/>
          <w:highlight w:val="yellow"/>
          <w:highlightCs w:val="yellow"/>
          <w:rtl/>
        </w:rPr>
        <w:t xml:space="preserve">[להשלים - מגישה 1: חוויה אישית הקשורה לילדות, למשפחה או לקהילה. למשל: מי היה "כמו משפחה" עבורך, או כיצד הקהילה שבה גדלת השפיעה על הילדות שלך. 4-6 שורות בגוף ראשון]</w:t>
      </w:r>
    </w:p>
    <w:p>
      <w:pPr>
        <w:bidi/>
        <w:spacing w:after="0" w:before="0" w:line="360" w:lineRule="auto"/>
        <w:jc w:val="both"/>
      </w:pPr>
      <w:r>
        <w:rPr>
          <w:rFonts w:ascii="Times New Roman" w:cs="David" w:hAnsi="Times New Roman"/>
          <w:sz w:val="24"/>
          <w:szCs w:val="24"/>
          <w:highlight w:val="yellow"/>
          <w:highlightCs w:val="yellow"/>
          <w:rtl/>
        </w:rPr>
        <w:t xml:space="preserve">[להשלים - מגישה 2: חוויה אישית משלך באותו מבנה]</w:t>
      </w:r>
    </w:p>
    <w:p>
      <w:pPr>
        <w:bidi/>
        <w:spacing w:after="120" w:before="240" w:line="360" w:lineRule="auto"/>
        <w:jc w:val="both"/>
      </w:pPr>
      <w:r>
        <w:rPr>
          <w:rFonts w:ascii="Times New Roman" w:cs="David" w:hAnsi="Times New Roman"/>
          <w:b/>
          <w:bCs/>
          <w:sz w:val="24"/>
          <w:szCs w:val="24"/>
          <w:u w:val="single"/>
          <w:rtl/>
        </w:rPr>
        <w:t xml:space="preserve">שאלה 2: צמתי הכרעה בתהליך החיברות</w:t>
      </w:r>
    </w:p>
    <w:p>
      <w:pPr>
        <w:bidi/>
        <w:spacing w:after="0" w:before="0" w:line="360" w:lineRule="auto"/>
        <w:jc w:val="both"/>
      </w:pPr>
      <w:r>
        <w:rPr>
          <w:rFonts w:ascii="Times New Roman" w:cs="David" w:hAnsi="Times New Roman"/>
          <w:sz w:val="24"/>
          <w:szCs w:val="24"/>
          <w:rtl/>
        </w:rPr>
        <w:t xml:space="preserve">סוכני חיברות הם האנשים והמוסדות המתווכים לילד את הערכים, הנורמות ודפוסי ההתנהגות של החברה שבה הוא גדל: ההורים והמשפחה המורחבת, הגן ובית הספר, קבוצת השווים, המדיה ומוסדות הדת והקהילה. דרכם לומד הילד מי הוא, מה מצופה ממנו ומה מקומו בעולם (</w:t>
      </w:r>
      <w:r>
        <w:rPr>
          <w:rFonts w:ascii="Times New Roman" w:cs="David" w:hAnsi="Times New Roman"/>
          <w:sz w:val="24"/>
          <w:szCs w:val="24"/>
        </w:rPr>
        <w:t xml:space="preserve">לבוב ואלקיים, ל.ת.</w:t>
      </w:r>
      <w:r>
        <w:rPr>
          <w:rFonts w:ascii="Times New Roman" w:cs="David" w:hAnsi="Times New Roman"/>
          <w:sz w:val="24"/>
          <w:szCs w:val="24"/>
          <w:rtl/>
        </w:rPr>
        <w:t xml:space="preserve">).</w:t>
      </w:r>
    </w:p>
    <w:p>
      <w:pPr>
        <w:bidi/>
        <w:spacing w:after="0" w:before="0" w:line="360" w:lineRule="auto"/>
        <w:jc w:val="both"/>
      </w:pPr>
      <w:r>
        <w:rPr>
          <w:rFonts w:ascii="Times New Roman" w:cs="David" w:hAnsi="Times New Roman"/>
          <w:sz w:val="24"/>
          <w:szCs w:val="24"/>
          <w:rtl/>
        </w:rPr>
        <w:t xml:space="preserve">בסרטון "שלא יהיה מאוחר מדי" סוכני החיברות העיקריים של תאמר הם משפחתו, בית הספר, קבוצת החברים בשכונה והקהילה שסביבו. </w:t>
      </w:r>
      <w:r>
        <w:rPr>
          <w:rFonts w:ascii="Times New Roman" w:cs="David" w:hAnsi="Times New Roman"/>
          <w:sz w:val="24"/>
          <w:szCs w:val="24"/>
          <w:highlight w:val="yellow"/>
          <w:highlightCs w:val="yellow"/>
          <w:rtl/>
        </w:rPr>
        <w:t xml:space="preserve">[להשלים על פי הצפייה: מה המסר שקיבל תאמר מכל סוכן - מהבית, מהמורים, מהחברים ומהרחוב - וכיצד המסרים האלה עיצבו את מי שהוא היום. 6-8 שורות]</w:t>
      </w:r>
    </w:p>
    <w:p>
      <w:pPr>
        <w:bidi/>
        <w:spacing w:after="0" w:before="120" w:line="360" w:lineRule="auto"/>
        <w:jc w:val="both"/>
      </w:pPr>
      <w:r>
        <w:rPr>
          <w:rFonts w:ascii="Times New Roman" w:cs="David" w:hAnsi="Times New Roman"/>
          <w:b/>
          <w:bCs/>
          <w:sz w:val="24"/>
          <w:szCs w:val="24"/>
          <w:rtl/>
        </w:rPr>
        <w:t xml:space="preserve">סוכן החיברות המשמעותי שלי (כל אחת כותבת בנפרד):</w:t>
      </w:r>
    </w:p>
    <w:p>
      <w:pPr>
        <w:bidi/>
        <w:spacing w:after="0" w:before="0" w:line="360" w:lineRule="auto"/>
        <w:jc w:val="both"/>
      </w:pPr>
      <w:r>
        <w:rPr>
          <w:rFonts w:ascii="Times New Roman" w:cs="David" w:hAnsi="Times New Roman"/>
          <w:sz w:val="24"/>
          <w:szCs w:val="24"/>
          <w:highlight w:val="yellow"/>
          <w:highlightCs w:val="yellow"/>
          <w:rtl/>
        </w:rPr>
        <w:t xml:space="preserve">[להשלים - מגישה 1: מי היה סוכן החיברות המשמעותי בחייך ומה קיבלת ממנו. 3-4 שורות בגוף ראשון]</w:t>
      </w:r>
    </w:p>
    <w:p>
      <w:pPr>
        <w:bidi/>
        <w:spacing w:after="0" w:before="0" w:line="360" w:lineRule="auto"/>
        <w:jc w:val="both"/>
      </w:pPr>
      <w:r>
        <w:rPr>
          <w:rFonts w:ascii="Times New Roman" w:cs="David" w:hAnsi="Times New Roman"/>
          <w:sz w:val="24"/>
          <w:szCs w:val="24"/>
          <w:highlight w:val="yellow"/>
          <w:highlightCs w:val="yellow"/>
          <w:rtl/>
        </w:rPr>
        <w:t xml:space="preserve">[להשלים - מגישה 2: אותו מבנה]</w:t>
      </w:r>
    </w:p>
    <w:p>
      <w:pPr>
        <w:bidi/>
        <w:spacing w:after="0" w:before="0" w:line="360" w:lineRule="auto"/>
        <w:jc w:val="both"/>
      </w:pPr>
      <w:r>
        <w:rPr>
          <w:rFonts w:ascii="Times New Roman" w:cs="David" w:hAnsi="Times New Roman"/>
          <w:sz w:val="24"/>
          <w:szCs w:val="24"/>
          <w:rtl/>
        </w:rPr>
        <w:t xml:space="preserve">כאשר שני סוכני חיברות משדרים לילד מסרים סותרים באותו נושא, נוצר אצלו דיסוננס: הוא נדרש להכריע בין נאמנויות, ולעיתים בין הרצון להשתייך לקבוצה ובין הערכים שספג בבית. ההכרעה תלויה בגיל, בעוצמת הקשר עם כל סוכן ובמחיר החברתי של כל בחירה. בגיל ההתבגרות כוחה של קבוצת השווים עולה, ולכן דווקא אז מתחדדים צמתי ההכרעה. התמודדות חוזרת עם סתירות כאלה יכולה לפתח שיקול דעת עצמאי, אך כשהפער גדול מדי הילד עלול לחוות בלבול, אשמה או ניתוק מאחד הצדדים.</w:t>
      </w:r>
    </w:p>
    <w:p>
      <w:pPr>
        <w:bidi/>
        <w:spacing w:after="0" w:before="120" w:line="360" w:lineRule="auto"/>
        <w:jc w:val="both"/>
      </w:pPr>
      <w:r>
        <w:rPr>
          <w:rFonts w:ascii="Times New Roman" w:cs="David" w:hAnsi="Times New Roman"/>
          <w:b/>
          <w:bCs/>
          <w:sz w:val="24"/>
          <w:szCs w:val="24"/>
          <w:rtl/>
        </w:rPr>
        <w:t xml:space="preserve">צומת הכרעה אישי (כל אחת כותבת בנפרד, לא דוגמת העישון):</w:t>
      </w:r>
    </w:p>
    <w:p>
      <w:pPr>
        <w:bidi/>
        <w:spacing w:after="0" w:before="0" w:line="360" w:lineRule="auto"/>
        <w:jc w:val="both"/>
      </w:pPr>
      <w:r>
        <w:rPr>
          <w:rFonts w:ascii="Times New Roman" w:cs="David" w:hAnsi="Times New Roman"/>
          <w:sz w:val="24"/>
          <w:szCs w:val="24"/>
          <w:highlight w:val="yellow"/>
          <w:highlightCs w:val="yellow"/>
          <w:rtl/>
        </w:rPr>
        <w:t xml:space="preserve">[להשלים - מגישה 1: מי היו שני סוכני החיברות, מה היו המסרים הסותרים, מה החלטת בסוף ולמה. 4-6 שורות]</w:t>
      </w:r>
    </w:p>
    <w:p>
      <w:pPr>
        <w:bidi/>
        <w:spacing w:after="0" w:before="0" w:line="360" w:lineRule="auto"/>
        <w:jc w:val="both"/>
      </w:pPr>
      <w:r>
        <w:rPr>
          <w:rFonts w:ascii="Times New Roman" w:cs="David" w:hAnsi="Times New Roman"/>
          <w:sz w:val="24"/>
          <w:szCs w:val="24"/>
          <w:highlight w:val="yellow"/>
          <w:highlightCs w:val="yellow"/>
          <w:rtl/>
        </w:rPr>
        <w:t xml:space="preserve">[להשלים - מגישה 2: אותו מבנה]</w:t>
      </w:r>
    </w:p>
    <w:p>
      <w:pPr>
        <w:bidi/>
        <w:spacing w:after="120" w:before="240" w:line="360" w:lineRule="auto"/>
        <w:jc w:val="both"/>
      </w:pPr>
      <w:r>
        <w:rPr>
          <w:rFonts w:ascii="Times New Roman" w:cs="David" w:hAnsi="Times New Roman"/>
          <w:b/>
          <w:bCs/>
          <w:sz w:val="24"/>
          <w:szCs w:val="24"/>
          <w:u w:val="single"/>
          <w:rtl/>
        </w:rPr>
        <w:t xml:space="preserve">שאלה 3: תאמר והמודל האקולוגי</w:t>
      </w:r>
    </w:p>
    <w:p>
      <w:pPr>
        <w:bidi/>
        <w:spacing w:after="0" w:before="0" w:line="360" w:lineRule="auto"/>
        <w:jc w:val="both"/>
      </w:pPr>
      <w:r>
        <w:rPr>
          <w:rFonts w:ascii="Times New Roman" w:cs="David" w:hAnsi="Times New Roman"/>
          <w:sz w:val="24"/>
          <w:szCs w:val="24"/>
          <w:rtl/>
        </w:rPr>
        <w:t xml:space="preserve">המודל האקולוגי רואה את התפתחות הילד כמתרחשת בתוך סדרת מעגלים סביבתיים העוטפים זה את זה ומשפיעים זה על זה, כשבמרכזם הפרט עצמו: המיקרוסיסטם, המזוסיסטם, האקסוסיסטם, המקרוסיסטם וציר הזמן (</w:t>
      </w:r>
      <w:r>
        <w:rPr>
          <w:rFonts w:ascii="Times New Roman" w:cs="David" w:hAnsi="Times New Roman"/>
          <w:sz w:val="24"/>
          <w:szCs w:val="24"/>
        </w:rPr>
        <w:t xml:space="preserve">Bronfenbrenner, 1979</w:t>
      </w:r>
      <w:r>
        <w:rPr>
          <w:rFonts w:ascii="Times New Roman" w:cs="David" w:hAnsi="Times New Roman"/>
          <w:sz w:val="24"/>
          <w:szCs w:val="24"/>
          <w:rtl/>
        </w:rPr>
        <w:t xml:space="preserve">; </w:t>
      </w:r>
      <w:r>
        <w:rPr>
          <w:rFonts w:ascii="Times New Roman" w:cs="David" w:hAnsi="Times New Roman"/>
          <w:sz w:val="24"/>
          <w:szCs w:val="24"/>
        </w:rPr>
        <w:t xml:space="preserve">גנאים חסין, 2026ב</w:t>
      </w:r>
      <w:r>
        <w:rPr>
          <w:rFonts w:ascii="Times New Roman" w:cs="David" w:hAnsi="Times New Roman"/>
          <w:sz w:val="24"/>
          <w:szCs w:val="24"/>
          <w:rtl/>
        </w:rPr>
        <w:t xml:space="preserve">).</w:t>
      </w:r>
    </w:p>
    <w:p>
      <w:pPr>
        <w:bidi/>
        <w:spacing w:after="0" w:before="0" w:line="360" w:lineRule="auto"/>
        <w:jc w:val="both"/>
      </w:pPr>
      <w:r>
        <w:rPr>
          <w:rFonts w:ascii="Times New Roman" w:cs="David" w:hAnsi="Times New Roman"/>
          <w:sz w:val="24"/>
          <w:szCs w:val="24"/>
          <w:rtl/>
        </w:rPr>
        <w:t xml:space="preserve">במיקרוסיסטם של תאמר נמצאים האנשים שעמם יש לו קשר יומיומי ישיר: הוריו ואחיו, המורים, וקבוצת החברים. זו המערכת שמשפיעה עליו באופן החזק ביותר, שכן הגירויים הישירים שילד מקבל מהיחסים הקרובים מעצבים את התפתחותו הרגשית, המוסרית וההתנהגותית (</w:t>
      </w:r>
      <w:r>
        <w:rPr>
          <w:rFonts w:ascii="Times New Roman" w:cs="David" w:hAnsi="Times New Roman"/>
          <w:sz w:val="24"/>
          <w:szCs w:val="24"/>
        </w:rPr>
        <w:t xml:space="preserve">גנאים חסין, 2026ב</w:t>
      </w:r>
      <w:r>
        <w:rPr>
          <w:rFonts w:ascii="Times New Roman" w:cs="David" w:hAnsi="Times New Roman"/>
          <w:sz w:val="24"/>
          <w:szCs w:val="24"/>
          <w:rtl/>
        </w:rPr>
        <w:t xml:space="preserve">). </w:t>
      </w:r>
      <w:r>
        <w:rPr>
          <w:rFonts w:ascii="Times New Roman" w:cs="David" w:hAnsi="Times New Roman"/>
          <w:sz w:val="24"/>
          <w:szCs w:val="24"/>
          <w:highlight w:val="yellow"/>
          <w:highlightCs w:val="yellow"/>
          <w:rtl/>
        </w:rPr>
        <w:t xml:space="preserve">[להשלים על פי הסרטון: כיצד בפועל התנהלו הבית, המורים והחברים מול תאמר, ואיזו התנהגות זה יצר אצלו. 4-5 שורות]</w:t>
      </w:r>
    </w:p>
    <w:p>
      <w:pPr>
        <w:bidi/>
        <w:spacing w:after="0" w:before="0" w:line="360" w:lineRule="auto"/>
        <w:jc w:val="both"/>
      </w:pPr>
      <w:r>
        <w:rPr>
          <w:rFonts w:ascii="Times New Roman" w:cs="David" w:hAnsi="Times New Roman"/>
          <w:sz w:val="24"/>
          <w:szCs w:val="24"/>
          <w:rtl/>
        </w:rPr>
        <w:t xml:space="preserve">המזוסיסטם הוא מערכת הקשרים שבין סביבות המיקרו עצמן: הקשר בין ההורים לבית הספר, בין המשפחה לחברים, בין המורים לגורמי הטיפול. כשילד לומד מסר דומה בשתי סביבות מיקרו, הוא מתחזק כפליים; כשזרימת המידע ביניהן נחסמת, אף אחד אינו רואה את התמונה המלאה (</w:t>
      </w:r>
      <w:r>
        <w:rPr>
          <w:rFonts w:ascii="Times New Roman" w:cs="David" w:hAnsi="Times New Roman"/>
          <w:sz w:val="24"/>
          <w:szCs w:val="24"/>
        </w:rPr>
        <w:t xml:space="preserve">גנאים חסין, 2026ב</w:t>
      </w:r>
      <w:r>
        <w:rPr>
          <w:rFonts w:ascii="Times New Roman" w:cs="David" w:hAnsi="Times New Roman"/>
          <w:sz w:val="24"/>
          <w:szCs w:val="24"/>
          <w:rtl/>
        </w:rPr>
        <w:t xml:space="preserve">). אצל תאמר המזוסיסטם כשל: </w:t>
      </w:r>
      <w:r>
        <w:rPr>
          <w:rFonts w:ascii="Times New Roman" w:cs="David" w:hAnsi="Times New Roman"/>
          <w:sz w:val="24"/>
          <w:szCs w:val="24"/>
          <w:highlight w:val="yellow"/>
          <w:highlightCs w:val="yellow"/>
          <w:rtl/>
        </w:rPr>
        <w:t xml:space="preserve">[להשלים: האם בית הספר יצר קשר עם ההורים? האם מישהו חיבר בין הגורמים? לדעתנו נכון היה ש... - לתאר מה היה צריך לקרות: שיתוף ההורים מוקדם, ישיבה משותפת עם גורמי חינוך ורווחה, מעקב רציף. 4-5 שורות]</w:t>
      </w:r>
    </w:p>
    <w:p>
      <w:pPr>
        <w:bidi/>
        <w:spacing w:after="0" w:before="0" w:line="360" w:lineRule="auto"/>
        <w:jc w:val="both"/>
      </w:pPr>
      <w:r>
        <w:rPr>
          <w:rFonts w:ascii="Times New Roman" w:cs="David" w:hAnsi="Times New Roman"/>
          <w:sz w:val="24"/>
          <w:szCs w:val="24"/>
          <w:rtl/>
        </w:rPr>
        <w:t xml:space="preserve">באקסוסיסטם נמצאות מערכות שתאמר אינו משתתף בהן ישירות אך הן משפיעות על חייו: מקומות העבודה של הוריו, מחלקת הרווחה, הרשות המקומית ותקציביה. במקרוסיסטם נמצאים הערכים, הנורמות והתנאים של החברה כולה. עבור נער בחברה הערבית בישראל מדובר במציאות של יישובים באשכולות חברתיים-כלכליים נמוכים, עלייה חדה באלימות ובפשיעה, ומתח מתמיד בין מסורת למודרניזציה, שבתוכו נדרש המתבגר להכריע בין קונפורמיות לאינדיווידואליות (</w:t>
      </w:r>
      <w:r>
        <w:rPr>
          <w:rFonts w:ascii="Times New Roman" w:cs="David" w:hAnsi="Times New Roman"/>
          <w:sz w:val="24"/>
          <w:szCs w:val="24"/>
        </w:rPr>
        <w:t xml:space="preserve">גנאים חסין, 2026א</w:t>
      </w:r>
      <w:r>
        <w:rPr>
          <w:rFonts w:ascii="Times New Roman" w:cs="David" w:hAnsi="Times New Roman"/>
          <w:sz w:val="24"/>
          <w:szCs w:val="24"/>
          <w:rtl/>
        </w:rPr>
        <w:t xml:space="preserve">). </w:t>
      </w:r>
      <w:r>
        <w:rPr>
          <w:rFonts w:ascii="Times New Roman" w:cs="David" w:hAnsi="Times New Roman"/>
          <w:sz w:val="24"/>
          <w:szCs w:val="24"/>
          <w:highlight w:val="yellow"/>
          <w:highlightCs w:val="yellow"/>
          <w:rtl/>
        </w:rPr>
        <w:t xml:space="preserve">[להשלים: תיאור הסיטואציות בסרטון שהובילו לתקרית הסופית, וניתוחן דרך המעגלים. 4-6 שורות]</w:t>
      </w:r>
    </w:p>
    <w:p>
      <w:pPr>
        <w:bidi/>
        <w:spacing w:after="0" w:before="0" w:line="360" w:lineRule="auto"/>
        <w:jc w:val="both"/>
      </w:pPr>
      <w:r>
        <w:rPr>
          <w:rFonts w:ascii="Times New Roman" w:cs="David" w:hAnsi="Times New Roman"/>
          <w:sz w:val="24"/>
          <w:szCs w:val="24"/>
          <w:rtl/>
        </w:rPr>
        <w:t xml:space="preserve">כדי לפתח אצל תאמר תחושת שייכות וערך עצמי, המעגלים היו צריכים לפעול יחד ולא זה לצד זה. במזוסיסטם: קשר שוטף בין המשפחה המורחבת, בית הספר, מחלקת הרווחה והחינוך הבלתי פורמלי, עם דמות מבוגר אחת שמרכזת את התמונה ומכירה את תאמר לעומק. במקרוסיסטם: מסגרות פנאי וחוגים זמינים ביישוב, מודלים לחיקוי מתוך הקהילה, והתמקדות בחוזקות של הנער במקום בתיוגו כבעייתי. התערבות אפקטיבית מתמקדת בחיזוק גורמי חוסן קבועים ובצמצום גורמי סיכון דינמיים, כך שהנער יפגוש מבוגרים שמאמינים בו בכל מעגל שבו הוא נע (גנאים חסין, 2026ב).</w:t>
      </w:r>
    </w:p>
    <w:p>
      <w:pPr>
        <w:bidi/>
        <w:spacing w:after="120" w:before="240" w:line="360" w:lineRule="auto"/>
        <w:jc w:val="both"/>
      </w:pPr>
      <w:r>
        <w:rPr>
          <w:rFonts w:ascii="Times New Roman" w:cs="David" w:hAnsi="Times New Roman"/>
          <w:b/>
          <w:bCs/>
          <w:sz w:val="24"/>
          <w:szCs w:val="24"/>
          <w:u w:val="single"/>
          <w:rtl/>
        </w:rPr>
        <w:t xml:space="preserve">שאלה 4: משפחות במשבר וגורמי סיכון</w:t>
      </w:r>
    </w:p>
    <w:p>
      <w:pPr>
        <w:bidi/>
        <w:spacing w:after="0" w:before="0" w:line="360" w:lineRule="auto"/>
        <w:jc w:val="both"/>
      </w:pPr>
      <w:r>
        <w:rPr>
          <w:rFonts w:ascii="Times New Roman" w:cs="David" w:hAnsi="Times New Roman"/>
          <w:sz w:val="24"/>
          <w:szCs w:val="24"/>
          <w:rtl/>
        </w:rPr>
        <w:t xml:space="preserve">"רוחות רפאים מחדר הילדים" הוא מושג המתאר כיצד חוויות ילדות כואבות ולא מעובדות של ההורה חוזרות ומופיעות ביחסיו עם ילדו: ההורה משחזר, בלא מודע, דפוסי פגיעה שחווה בעצמו, וכך עוברת המצוקה מדור לדור. ההורה אינו אדם רע; הוא הורה שלא זכה לעיבוד של כאבו, והעבר שלו "מתיישב" בחדר הילדים של ילדו (</w:t>
      </w:r>
      <w:r>
        <w:rPr>
          <w:rFonts w:ascii="Times New Roman" w:cs="David" w:hAnsi="Times New Roman"/>
          <w:sz w:val="24"/>
          <w:szCs w:val="24"/>
        </w:rPr>
        <w:t xml:space="preserve">Fraiberg et al., 1975</w:t>
      </w:r>
      <w:r>
        <w:rPr>
          <w:rFonts w:ascii="Times New Roman" w:cs="David" w:hAnsi="Times New Roman"/>
          <w:sz w:val="24"/>
          <w:szCs w:val="24"/>
          <w:rtl/>
        </w:rPr>
        <w:t xml:space="preserve">).</w:t>
      </w:r>
    </w:p>
    <w:p>
      <w:pPr>
        <w:bidi/>
        <w:spacing w:after="0" w:before="0" w:line="360" w:lineRule="auto"/>
        <w:jc w:val="both"/>
      </w:pPr>
      <w:r>
        <w:rPr>
          <w:rFonts w:ascii="Times New Roman" w:cs="David" w:hAnsi="Times New Roman"/>
          <w:sz w:val="24"/>
          <w:szCs w:val="24"/>
          <w:rtl/>
        </w:rPr>
        <w:t xml:space="preserve">שלושה גורמי סיכון במשפחה: עוני ומצוקה כלכלית מתמשכת; אלימות במשפחה; והתמכרות או מחלה נפשית של הורה, הפוגעות בזמינותו הרגשית לילדיו.</w:t>
      </w:r>
    </w:p>
    <w:p>
      <w:pPr>
        <w:bidi/>
        <w:spacing w:after="0" w:before="0" w:line="360" w:lineRule="auto"/>
        <w:jc w:val="both"/>
      </w:pPr>
      <w:r>
        <w:rPr>
          <w:rFonts w:ascii="Times New Roman" w:cs="David" w:hAnsi="Times New Roman"/>
          <w:sz w:val="24"/>
          <w:szCs w:val="24"/>
          <w:rtl/>
        </w:rPr>
        <w:t xml:space="preserve">משבר הוא מצב שבו דרישות המציאות עולות על משאבי ההתמודדות הרגילים של האדם או המשפחה: הכלים שעבדו עד כה מפסיקים לעבוד, שגרת החיים מתערערת ונדרש ארגון מחדש. מבנה המשפחה משפיע על יכולת ההתמודדות: משפחה מורחבת ומלוכדת מעמידה רשת תמיכה רחבה של עזרה הדדית, בעוד משפחה מצומצמת או מבודדת נושאת את המשבר לבדה. מנגד, מבנה היררכי נוקשה עלול להקשות על גמישות בחלוקת תפקידים דווקא כשנדרש שינוי (גנאים חסין, 2026א). המשבר הוא גם עניין סובייקטיבי: אותו אירוע עצמו ייחוות במשפחה אחת כקטסטרופה ובאחרת כקושי בר-חלוף, בהתאם למשמעות שמייחסים לו, לניסיון קודם ולמשאבים הזמינים.</w:t>
      </w:r>
    </w:p>
    <w:p>
      <w:pPr>
        <w:bidi/>
        <w:spacing w:after="0" w:before="0" w:line="360" w:lineRule="auto"/>
        <w:jc w:val="both"/>
      </w:pPr>
      <w:r>
        <w:rPr>
          <w:rFonts w:ascii="Times New Roman" w:cs="David" w:hAnsi="Times New Roman"/>
          <w:sz w:val="24"/>
          <w:szCs w:val="24"/>
          <w:rtl/>
        </w:rPr>
        <w:t xml:space="preserve">גורמי לחץ ומשבר בקרב משפחות ניתן לחלק לנורמטיביים, המלווים את מעגל החיים, כמו לידה, גיל התבגרות של ילד או פרישה, וללא נורמטיביים: מחלה קשה, אבטלה ופיטורין, גירושין, מוות של בן משפחה, הגירה ומלחמה. על תפקוד המשפחה בזמן משבר משפיעים היקף רשת התמיכה, הגמישות בחלוקת התפקידים, איכות התקשורת בין בני המשפחה, ניסיון מוצלח ממשברים קודמים והמצב הכלכלי. למשפחות בסיכון ניתן לעזור על ידי איתור מוקדם, חיזוק גורמי החוסן הקיימים במשפחה במקום התמקדות בחסרים בלבד, צמצום גורמי סיכון דינמיים כמו איכות היחסים בבית, ליווי של גורם מקצועי קבוע ובניית שותפות אמיתית עם ההורים (גנאים חסין, 2026ב).</w:t>
      </w:r>
    </w:p>
    <w:p>
      <w:pPr>
        <w:bidi/>
        <w:spacing w:after="0" w:before="0" w:line="360" w:lineRule="auto"/>
        <w:jc w:val="both"/>
      </w:pPr>
      <w:r>
        <w:rPr>
          <w:rFonts w:ascii="Times New Roman" w:cs="David" w:hAnsi="Times New Roman"/>
          <w:sz w:val="24"/>
          <w:szCs w:val="24"/>
          <w:rtl/>
        </w:rPr>
        <w:t xml:space="preserve">מודל גש"ר מאח"ד מתאר שישה ערוצי התמודדות עם לחץ: גוף, שכל, רגש, משפחה וחברה, אמונה ודמיון. לכל אדם ערוצים דומיננטיים שאליהם הוא פונה באופן אוטומטי, והרחבת הרפרטואר לערוצים נוספים מגדילה את החוסן (</w:t>
      </w:r>
      <w:r>
        <w:rPr>
          <w:rFonts w:ascii="Times New Roman" w:cs="David" w:hAnsi="Times New Roman"/>
          <w:sz w:val="24"/>
          <w:szCs w:val="24"/>
        </w:rPr>
        <w:t xml:space="preserve">להד וקפלינסקי, 2007</w:t>
      </w:r>
      <w:r>
        <w:rPr>
          <w:rFonts w:ascii="Times New Roman" w:cs="David" w:hAnsi="Times New Roman"/>
          <w:sz w:val="24"/>
          <w:szCs w:val="24"/>
          <w:rtl/>
        </w:rPr>
        <w:t xml:space="preserve">).</w:t>
      </w:r>
    </w:p>
    <w:p>
      <w:pPr>
        <w:bidi/>
        <w:spacing w:after="0" w:before="120" w:line="360" w:lineRule="auto"/>
        <w:jc w:val="both"/>
      </w:pPr>
      <w:r>
        <w:rPr>
          <w:rFonts w:ascii="Times New Roman" w:cs="David" w:hAnsi="Times New Roman"/>
          <w:b/>
          <w:bCs/>
          <w:sz w:val="24"/>
          <w:szCs w:val="24"/>
          <w:rtl/>
        </w:rPr>
        <w:t xml:space="preserve">התבוננות אישית על פי המודל (כל אחת כותבת בנפרד):</w:t>
      </w:r>
    </w:p>
    <w:p>
      <w:pPr>
        <w:bidi/>
        <w:spacing w:after="0" w:before="0" w:line="360" w:lineRule="auto"/>
        <w:jc w:val="both"/>
      </w:pPr>
      <w:r>
        <w:rPr>
          <w:rFonts w:ascii="Times New Roman" w:cs="David" w:hAnsi="Times New Roman"/>
          <w:sz w:val="24"/>
          <w:szCs w:val="24"/>
          <w:highlight w:val="yellow"/>
          <w:highlightCs w:val="yellow"/>
          <w:rtl/>
        </w:rPr>
        <w:t xml:space="preserve">[להשלים - מגישה 1: מצב לחץ מחייך; מה היה הערוץ האוטומטי (גוף/שכל/רגש/חברה/אמונה/דמיון); איך הצלחת להקל על התחושה; ואיזה ערוץ היית רוצה לפתח. 4-5 שורות בגוף ראשון]</w:t>
      </w:r>
    </w:p>
    <w:p>
      <w:pPr>
        <w:bidi/>
        <w:spacing w:after="0" w:before="0" w:line="360" w:lineRule="auto"/>
        <w:jc w:val="both"/>
      </w:pPr>
      <w:r>
        <w:rPr>
          <w:rFonts w:ascii="Times New Roman" w:cs="David" w:hAnsi="Times New Roman"/>
          <w:sz w:val="24"/>
          <w:szCs w:val="24"/>
          <w:highlight w:val="yellow"/>
          <w:highlightCs w:val="yellow"/>
          <w:rtl/>
        </w:rPr>
        <w:t xml:space="preserve">[להשלים - מגישה 2: אותו מבנה]</w:t>
      </w:r>
    </w:p>
    <w:p>
      <w:pPr>
        <w:bidi/>
        <w:spacing w:after="120" w:before="240" w:line="360" w:lineRule="auto"/>
        <w:jc w:val="both"/>
      </w:pPr>
      <w:r>
        <w:rPr>
          <w:rFonts w:ascii="Times New Roman" w:cs="David" w:hAnsi="Times New Roman"/>
          <w:b/>
          <w:bCs/>
          <w:sz w:val="24"/>
          <w:szCs w:val="24"/>
          <w:u w:val="single"/>
          <w:rtl/>
        </w:rPr>
        <w:t xml:space="preserve">שאלה 5: סיכום ואמירה אישית</w:t>
      </w:r>
    </w:p>
    <w:p>
      <w:pPr>
        <w:bidi/>
        <w:spacing w:after="0" w:before="0" w:line="360" w:lineRule="auto"/>
        <w:jc w:val="both"/>
      </w:pPr>
      <w:r>
        <w:rPr>
          <w:rFonts w:ascii="Times New Roman" w:cs="David" w:hAnsi="Times New Roman"/>
          <w:sz w:val="24"/>
          <w:szCs w:val="24"/>
          <w:highlight w:val="yellow"/>
          <w:highlightCs w:val="yellow"/>
          <w:rtl/>
        </w:rPr>
        <w:t xml:space="preserve">[להשלים - מגישה 1: רפלקציה בגוף ראשון, 8-10 שורות. מבנה מוצע: מה חשבתי לפני הקורס על משפחה וילדות; רגע או מושג אחד מהקורס שערער אותי (למשל המעגלים האקולוגיים או רוחות הרפאים); מה למדתי על עצמי או על המשפחה שלי; ומה אקח ממני הלאה לעבודה עם ילדים. רפלקציה טובה כוללת גם משהו פחות מחמיא שגילית על עצמך]</w:t>
      </w:r>
    </w:p>
    <w:p>
      <w:pPr>
        <w:bidi/>
        <w:spacing w:after="0" w:before="0" w:line="360" w:lineRule="auto"/>
        <w:jc w:val="both"/>
      </w:pPr>
      <w:r>
        <w:rPr>
          <w:rFonts w:ascii="Times New Roman" w:cs="David" w:hAnsi="Times New Roman"/>
          <w:sz w:val="24"/>
          <w:szCs w:val="24"/>
          <w:highlight w:val="yellow"/>
          <w:highlightCs w:val="yellow"/>
          <w:rtl/>
        </w:rPr>
        <w:t xml:space="preserve">[להשלים - מגישה 2: רפלקציה נפרדת משלך באותו מבנה]</w:t>
      </w:r>
    </w:p>
    <w:p>
      <w:r>
        <w:br w:type="page"/>
      </w:r>
    </w:p>
    <w:p>
      <w:pPr>
        <w:bidi/>
        <w:spacing w:after="240" w:before="0" w:line="360" w:lineRule="auto"/>
        <w:jc w:val="center"/>
      </w:pPr>
      <w:r>
        <w:rPr>
          <w:rFonts w:ascii="Times New Roman" w:cs="David" w:hAnsi="Times New Roman"/>
          <w:b/>
          <w:bCs/>
          <w:sz w:val="28"/>
          <w:szCs w:val="28"/>
          <w:u w:val="single"/>
          <w:rtl/>
        </w:rPr>
        <w:t xml:space="preserve">רשימת מקורות</w:t>
      </w:r>
    </w:p>
    <w:p>
      <w:pPr>
        <w:bidi/>
        <w:spacing w:line="480" w:lineRule="auto"/>
        <w:ind w:left="709" w:hanging="709"/>
        <w:jc w:val="right"/>
      </w:pPr>
      <w:r>
        <w:rPr>
          <w:rFonts w:ascii="Times New Roman" w:cs="David" w:hAnsi="Times New Roman"/>
          <w:sz w:val="24"/>
          <w:szCs w:val="24"/>
          <w:rtl/>
        </w:rPr>
        <w:t xml:space="preserve">אגמון, א' (2022). מחשבות על היסטוריה של המשפחה. </w:t>
      </w:r>
      <w:r>
        <w:rPr>
          <w:rFonts w:ascii="Times New Roman" w:cs="David" w:hAnsi="Times New Roman"/>
          <w:i/>
          <w:iCs/>
          <w:sz w:val="24"/>
          <w:szCs w:val="24"/>
          <w:rtl/>
        </w:rPr>
        <w:t xml:space="preserve">ג'מאעה, כו</w:t>
      </w:r>
      <w:r>
        <w:rPr>
          <w:rFonts w:ascii="Times New Roman" w:cs="David" w:hAnsi="Times New Roman"/>
          <w:sz w:val="24"/>
          <w:szCs w:val="24"/>
          <w:rtl/>
        </w:rPr>
        <w:t xml:space="preserve">, 191-204.</w:t>
      </w:r>
    </w:p>
    <w:p>
      <w:pPr>
        <w:bidi/>
        <w:spacing w:line="480" w:lineRule="auto"/>
        <w:ind w:left="709" w:hanging="709"/>
        <w:jc w:val="right"/>
      </w:pPr>
      <w:r>
        <w:rPr>
          <w:rFonts w:ascii="Times New Roman" w:cs="David" w:hAnsi="Times New Roman"/>
          <w:sz w:val="24"/>
          <w:szCs w:val="24"/>
          <w:rtl/>
        </w:rPr>
        <w:t xml:space="preserve">גנאים חסין, ע' (2026א). </w:t>
      </w:r>
      <w:r>
        <w:rPr>
          <w:rFonts w:ascii="Times New Roman" w:cs="David" w:hAnsi="Times New Roman"/>
          <w:i/>
          <w:iCs/>
          <w:sz w:val="24"/>
          <w:szCs w:val="24"/>
          <w:rtl/>
        </w:rPr>
        <w:t xml:space="preserve">המשפחה הערבית בישראל</w:t>
      </w:r>
      <w:r>
        <w:rPr>
          <w:rFonts w:ascii="Times New Roman" w:cs="David" w:hAnsi="Times New Roman"/>
          <w:sz w:val="24"/>
          <w:szCs w:val="24"/>
          <w:rtl/>
        </w:rPr>
        <w:t xml:space="preserve"> [מצגת הרצאה]. הקורס ילד, משפחה וקהילה.</w:t>
      </w:r>
    </w:p>
    <w:p>
      <w:pPr>
        <w:bidi/>
        <w:spacing w:line="480" w:lineRule="auto"/>
        <w:ind w:left="709" w:hanging="709"/>
        <w:jc w:val="right"/>
      </w:pPr>
      <w:r>
        <w:rPr>
          <w:rFonts w:ascii="Times New Roman" w:cs="David" w:hAnsi="Times New Roman"/>
          <w:sz w:val="24"/>
          <w:szCs w:val="24"/>
          <w:rtl/>
        </w:rPr>
        <w:t xml:space="preserve">גנאים חסין, ע' (2026ב). </w:t>
      </w:r>
      <w:r>
        <w:rPr>
          <w:rFonts w:ascii="Times New Roman" w:cs="David" w:hAnsi="Times New Roman"/>
          <w:i/>
          <w:iCs/>
          <w:sz w:val="24"/>
          <w:szCs w:val="24"/>
          <w:rtl/>
        </w:rPr>
        <w:t xml:space="preserve">התיאוריה האקולוגית</w:t>
      </w:r>
      <w:r>
        <w:rPr>
          <w:rFonts w:ascii="Times New Roman" w:cs="David" w:hAnsi="Times New Roman"/>
          <w:sz w:val="24"/>
          <w:szCs w:val="24"/>
          <w:rtl/>
        </w:rPr>
        <w:t xml:space="preserve"> [מצגת הרצאה]. הקורס ילד, משפחה וקהילה.</w:t>
      </w:r>
    </w:p>
    <w:p>
      <w:pPr>
        <w:bidi/>
        <w:spacing w:line="480" w:lineRule="auto"/>
        <w:ind w:left="709" w:hanging="709"/>
        <w:jc w:val="right"/>
      </w:pPr>
      <w:r>
        <w:rPr>
          <w:rFonts w:ascii="Times New Roman" w:cs="David" w:hAnsi="Times New Roman"/>
          <w:sz w:val="24"/>
          <w:szCs w:val="24"/>
          <w:rtl/>
        </w:rPr>
        <w:t xml:space="preserve">לבוב, א' ואלקיים, ה' (ל.ת.). </w:t>
      </w:r>
      <w:r>
        <w:rPr>
          <w:rFonts w:ascii="Times New Roman" w:cs="David" w:hAnsi="Times New Roman"/>
          <w:i/>
          <w:iCs/>
          <w:sz w:val="24"/>
          <w:szCs w:val="24"/>
          <w:rtl/>
        </w:rPr>
        <w:t xml:space="preserve">הורות מגדלת</w:t>
      </w:r>
      <w:r>
        <w:rPr>
          <w:rFonts w:ascii="Times New Roman" w:cs="David" w:hAnsi="Times New Roman"/>
          <w:sz w:val="24"/>
          <w:szCs w:val="24"/>
          <w:rtl/>
        </w:rPr>
        <w:t xml:space="preserve">. פסיכולוגיה עברית. </w:t>
      </w:r>
      <w:r>
        <w:rPr>
          <w:rFonts w:ascii="Times New Roman" w:cs="David" w:hAnsi="Times New Roman"/>
          <w:sz w:val="24"/>
          <w:szCs w:val="24"/>
        </w:rPr>
        <w:t xml:space="preserve">https://www.hebpsy.net/articles.asp?id=4136</w:t>
      </w:r>
    </w:p>
    <w:p>
      <w:pPr>
        <w:bidi/>
        <w:spacing w:line="480" w:lineRule="auto"/>
        <w:ind w:left="709" w:hanging="709"/>
        <w:jc w:val="right"/>
      </w:pPr>
      <w:r>
        <w:rPr>
          <w:rFonts w:ascii="Times New Roman" w:cs="David" w:hAnsi="Times New Roman"/>
          <w:sz w:val="24"/>
          <w:szCs w:val="24"/>
          <w:rtl/>
        </w:rPr>
        <w:t xml:space="preserve">להד, מ' וקפלינסקי, נ' (2007). הורות בשישה ערוצים: הורים מפתחים חוסן בילדיהם. בתוך א' כהן (עורכת), </w:t>
      </w:r>
      <w:r>
        <w:rPr>
          <w:rFonts w:ascii="Times New Roman" w:cs="David" w:hAnsi="Times New Roman"/>
          <w:i/>
          <w:iCs/>
          <w:sz w:val="24"/>
          <w:szCs w:val="24"/>
          <w:rtl/>
        </w:rPr>
        <w:t xml:space="preserve">חוויית ההורות: יחסים, התמודדויות והתפתחות</w:t>
      </w:r>
      <w:r>
        <w:rPr>
          <w:rFonts w:ascii="Times New Roman" w:cs="David" w:hAnsi="Times New Roman"/>
          <w:sz w:val="24"/>
          <w:szCs w:val="24"/>
          <w:rtl/>
        </w:rPr>
        <w:t xml:space="preserve"> (עמ' 191-214). אח.</w:t>
      </w:r>
    </w:p>
    <w:p>
      <w:pPr>
        <w:spacing w:line="480" w:lineRule="auto"/>
        <w:ind w:left="709" w:hanging="709"/>
        <w:jc w:val="left"/>
      </w:pPr>
      <w:r>
        <w:rPr>
          <w:rFonts w:ascii="Times New Roman" w:cs="David" w:hAnsi="Times New Roman"/>
          <w:sz w:val="24"/>
          <w:szCs w:val="24"/>
        </w:rPr>
        <w:t xml:space="preserve">Bronfenbrenner, U. (1979). </w:t>
      </w:r>
      <w:r>
        <w:rPr>
          <w:rFonts w:ascii="Times New Roman" w:cs="David" w:hAnsi="Times New Roman"/>
          <w:i/>
          <w:iCs/>
          <w:sz w:val="24"/>
          <w:szCs w:val="24"/>
        </w:rPr>
        <w:t xml:space="preserve">The ecology of human development: Experiments by nature and design</w:t>
      </w:r>
      <w:r>
        <w:rPr>
          <w:rFonts w:ascii="Times New Roman" w:cs="David" w:hAnsi="Times New Roman"/>
          <w:sz w:val="24"/>
          <w:szCs w:val="24"/>
        </w:rPr>
        <w:t xml:space="preserve">. Harvard University Press.</w:t>
      </w:r>
    </w:p>
    <w:p>
      <w:pPr>
        <w:spacing w:line="480" w:lineRule="auto"/>
        <w:ind w:left="709" w:hanging="709"/>
        <w:jc w:val="left"/>
      </w:pPr>
      <w:r>
        <w:rPr>
          <w:rFonts w:ascii="Times New Roman" w:cs="David" w:hAnsi="Times New Roman"/>
          <w:sz w:val="24"/>
          <w:szCs w:val="24"/>
        </w:rPr>
        <w:t xml:space="preserve">Fraiberg, S., Adelson, E., &amp; Shapiro, V. (1975). Ghosts in the nursery: A psychoanalytic approach to the problems of impaired infant-mother relationships. </w:t>
      </w:r>
      <w:r>
        <w:rPr>
          <w:rFonts w:ascii="Times New Roman" w:cs="David" w:hAnsi="Times New Roman"/>
          <w:i/>
          <w:iCs/>
          <w:sz w:val="24"/>
          <w:szCs w:val="24"/>
        </w:rPr>
        <w:t xml:space="preserve">Journal of the American Academy of Child Psychiatry, 14</w:t>
      </w:r>
      <w:r>
        <w:rPr>
          <w:rFonts w:ascii="Times New Roman" w:cs="David" w:hAnsi="Times New Roman"/>
          <w:sz w:val="24"/>
          <w:szCs w:val="24"/>
        </w:rPr>
        <w:t xml:space="preserve">(3), 387-421.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2026-07-30T10:38:42.423Z</dcterms:created>
  <dcterms:modified xsi:type="dcterms:W3CDTF">2026-07-30T10:38:42.423Z</dcterms:modified>
</cp:coreProperties>
</file>

<file path=docProps/custom.xml><?xml version="1.0" encoding="utf-8"?>
<Properties xmlns="http://schemas.openxmlformats.org/officeDocument/2006/custom-properties" xmlns:vt="http://schemas.openxmlformats.org/officeDocument/2006/docPropsVTypes"/>
</file>