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011680" cy="1036631"/>
            <wp:docPr id="1" name="Picture 1"/>
            <wp:cNvGraphicFramePr>
              <a:graphicFrameLocks noChangeAspect="1"/>
            </wp:cNvGraphicFramePr>
            <a:graphic>
              <a:graphicData uri="http://schemas.openxmlformats.org/drawingml/2006/picture">
                <pic:pic>
                  <pic:nvPicPr>
                    <pic:cNvPr id="0" name="bgu_logo.png"/>
                    <pic:cNvPicPr/>
                  </pic:nvPicPr>
                  <pic:blipFill>
                    <a:blip r:embed="rId9"/>
                    <a:stretch>
                      <a:fillRect/>
                    </a:stretch>
                  </pic:blipFill>
                  <pic:spPr>
                    <a:xfrm>
                      <a:off x="0" y="0"/>
                      <a:ext cx="2011680" cy="1036631"/>
                    </a:xfrm>
                    <a:prstGeom prst="rect"/>
                  </pic:spPr>
                </pic:pic>
              </a:graphicData>
            </a:graphic>
          </wp:inline>
        </w:drawing>
      </w:r>
    </w:p>
    <w:p>
      <w:pPr>
        <w:spacing w:after="40"/>
        <w:jc w:val="center"/>
        <w:bidi/>
      </w:pPr>
      <w:r>
        <w:rPr>
          <w:b w:val="0"/>
          <w:color w:val="1B3A53"/>
          <w:sz w:val="24"/>
          <w:rtl w:val="1"/>
        </w:rPr>
        <w:t>הפקולטה למדעי ההנדסה</w:t>
      </w:r>
    </w:p>
    <w:p>
      <w:pPr>
        <w:spacing w:after="160"/>
        <w:jc w:val="center"/>
        <w:bidi/>
      </w:pPr>
      <w:r>
        <w:rPr>
          <w:b w:val="0"/>
          <w:color w:val="1B3A53"/>
          <w:sz w:val="24"/>
          <w:rtl w:val="1"/>
        </w:rPr>
        <w:t>המחלקה להנדסה כימית</w:t>
      </w:r>
    </w:p>
    <w:p>
      <w:pPr>
        <w:spacing w:after="240"/>
        <w:jc w:val="center"/>
        <w:bidi/>
      </w:pPr>
      <w:r>
        <w:rPr>
          <w:b w:val="0"/>
          <w:color w:val="555555"/>
          <w:sz w:val="22"/>
          <w:rtl w:val="1"/>
        </w:rPr>
        <w:t>כימיה של המים בהנדסה כימית סביבתית</w:t>
      </w:r>
    </w:p>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Shadat@post.bgu.ac.il</w:t>
        <w:br/>
        <w:t>Abdallah Awad, 213041486, awadabd@post.bgu.ac.il</w:t>
        <w:br/>
        <w:t>Lina Awad, 325348571, linaaw@post.bgu.ac.il</w:t>
        <w:br/>
        <w:t>Yasmin Nassar, 326486032, nassarya@post.bgu.ac.il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We also output the CCPP (Calcium Carbonate Precipitation Potential): the mass of CaCO₃, in mg/L as CaCO₃, that must precipitate (+) or dissolve (−) to reach equilibrium (Ω = 1), a standard index for water stability and corrosion control (for example, desalinated RO water has a strongly negative CCPP and must be remineralized before distribution, whereas hard water has a positive CCPP and tends to scale). The model was validated against literature constants at 25 °C (pK₁ = 6.35, pK₂ = 10.33, pKₕ = 1.47, pKₛₚ = 8.48, A = 0.51).</w:t>
      </w:r>
    </w:p>
    <w:p>
      <w:pPr>
        <w:spacing w:after="120"/>
      </w:pPr>
      <w:r>
        <w:rPr>
          <w:i w:val="0"/>
        </w:rPr>
        <w:t>Dynamic extension (kinetics + mass transfer + multiple phases). Beyond the instantaneous equilibrium, the tool integrates a time-dependent scenario that couples three phases and two rate processes: (i) gas/liquid CO₂ mass transfer, J = kₗa·(Kₕ·pCO₂,atm − [CO₂(aq)]), which changes Cₜ but not alkalinity, and (ii) calcite precipitation kinetics, R = kₚ·(Ω − 1), which removes Ca and consumes alkalinity (Δalk = −2R, ΔCₜ = −R). The coupled ordinary differential equations are integrated explicitly in time.</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Figures 1-4 are the equilibrium results (one per group member); Figure 5 is an advanced dynamic result showcasing model complexity.</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1_speci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2_acidification.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3_calcite_SI.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5" name="Picture 5"/>
            <wp:cNvGraphicFramePr>
              <a:graphicFrameLocks noChangeAspect="1"/>
            </wp:cNvGraphicFramePr>
            <a:graphic>
              <a:graphicData uri="http://schemas.openxmlformats.org/drawingml/2006/picture">
                <pic:pic>
                  <pic:nvPicPr>
                    <pic:cNvPr id="0" name="fig5_ionic_strength.png"/>
                    <pic:cNvPicPr/>
                  </pic:nvPicPr>
                  <pic:blipFill>
                    <a:blip r:embed="rId13"/>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jc w:val="center"/>
      </w:pPr>
      <w:r>
        <w:drawing>
          <wp:inline xmlns:a="http://schemas.openxmlformats.org/drawingml/2006/main" xmlns:pic="http://schemas.openxmlformats.org/drawingml/2006/picture">
            <wp:extent cx="4846320" cy="3096260"/>
            <wp:docPr id="6" name="Picture 6"/>
            <wp:cNvGraphicFramePr>
              <a:graphicFrameLocks noChangeAspect="1"/>
            </wp:cNvGraphicFramePr>
            <a:graphic>
              <a:graphicData uri="http://schemas.openxmlformats.org/drawingml/2006/picture">
                <pic:pic>
                  <pic:nvPicPr>
                    <pic:cNvPr id="0" name="fig6_kinetics.png"/>
                    <pic:cNvPicPr/>
                  </pic:nvPicPr>
                  <pic:blipFill>
                    <a:blip r:embed="rId14"/>
                    <a:stretch>
                      <a:fillRect/>
                    </a:stretch>
                  </pic:blipFill>
                  <pic:spPr>
                    <a:xfrm>
                      <a:off x="0" y="0"/>
                      <a:ext cx="4846320" cy="3096260"/>
                    </a:xfrm>
                    <a:prstGeom prst="rect"/>
                  </pic:spPr>
                </pic:pic>
              </a:graphicData>
            </a:graphic>
          </wp:inline>
        </w:drawing>
      </w:r>
    </w:p>
    <w:p>
      <w:pPr>
        <w:spacing w:after="200"/>
        <w:jc w:val="center"/>
      </w:pPr>
      <w:r>
        <w:rPr>
          <w:i/>
          <w:color w:val="555555"/>
          <w:sz w:val="19"/>
        </w:rPr>
        <w:t>Figure 5 (advanced). Dynamic model coupling CO₂ mass transfer and calcite precipitation kinetics across three phases.</w:t>
      </w:r>
    </w:p>
    <w:p>
      <w:pPr>
        <w:spacing w:after="120"/>
      </w:pPr>
      <w:r>
        <w:rPr>
          <w:i w:val="0"/>
        </w:rPr>
        <w:t>A CO₂-rich groundwater (equilibrated with high soil pCO₂) is exposed to the atmosphere. First, CO₂ degasses by gas/liquid mass transfer: Cₜ falls and pH rises steeply while Ca stays constant. When the water crosses into super-saturation (SI = 0, marked), calcite precipitation kinetics switch on and Ca drops as CaCO₃ forms, consuming alkalinity. The system self-regulates near SI ≈ 0 as precipitation tracks continued degassing. This reproduces travertine and pipe-scale formation, and simultaneously demonstrates kinetics, mass transfer and multiple phases.</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